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974A" w14:textId="50483B39" w:rsidR="00757880" w:rsidRDefault="00932A21" w:rsidP="00C0021D">
      <w:pPr>
        <w:spacing w:after="0" w:line="276" w:lineRule="auto"/>
        <w:ind w:right="-90"/>
        <w:rPr>
          <w:rFonts w:ascii="Times New Roman" w:hAnsi="Times New Roman" w:cs="Times New Roman"/>
          <w:b/>
          <w:sz w:val="28"/>
          <w:szCs w:val="28"/>
        </w:rPr>
      </w:pPr>
      <w:r w:rsidRPr="004D76A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073EB">
        <w:rPr>
          <w:rFonts w:ascii="Times New Roman" w:hAnsi="Times New Roman" w:cs="Times New Roman"/>
          <w:b/>
          <w:bCs/>
          <w:sz w:val="28"/>
          <w:szCs w:val="28"/>
        </w:rPr>
        <w:t>42.</w:t>
      </w:r>
      <w:r w:rsidRPr="004D7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99E" w:rsidRPr="004D76A0">
        <w:rPr>
          <w:rFonts w:ascii="Times New Roman" w:hAnsi="Times New Roman" w:cs="Times New Roman"/>
          <w:b/>
          <w:bCs/>
          <w:sz w:val="28"/>
          <w:szCs w:val="28"/>
          <w:lang w:val="x-none"/>
        </w:rPr>
        <w:t>Possession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of </w:t>
      </w:r>
      <w:r w:rsidR="00F74B24">
        <w:rPr>
          <w:rFonts w:ascii="Times New Roman" w:hAnsi="Times New Roman" w:cs="Times New Roman"/>
          <w:b/>
          <w:sz w:val="28"/>
          <w:szCs w:val="28"/>
        </w:rPr>
        <w:t>O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pioid </w:t>
      </w:r>
      <w:r w:rsidR="00F74B24">
        <w:rPr>
          <w:rFonts w:ascii="Times New Roman" w:hAnsi="Times New Roman" w:cs="Times New Roman"/>
          <w:b/>
          <w:sz w:val="28"/>
          <w:szCs w:val="28"/>
        </w:rPr>
        <w:t xml:space="preserve">Antagonists; </w:t>
      </w:r>
      <w:r w:rsidR="00757880">
        <w:rPr>
          <w:rFonts w:ascii="Times New Roman" w:hAnsi="Times New Roman" w:cs="Times New Roman"/>
          <w:b/>
          <w:sz w:val="28"/>
          <w:szCs w:val="28"/>
        </w:rPr>
        <w:t>receipt into evidence</w:t>
      </w:r>
    </w:p>
    <w:p w14:paraId="157552B1" w14:textId="429EBD7C" w:rsidR="0035399E" w:rsidRPr="004D76A0" w:rsidRDefault="00C76297" w:rsidP="00C0021D">
      <w:pPr>
        <w:spacing w:after="0" w:line="276" w:lineRule="auto"/>
        <w:ind w:right="-90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4D76A0">
        <w:rPr>
          <w:rFonts w:ascii="Times New Roman" w:hAnsi="Times New Roman" w:cs="Times New Roman"/>
          <w:b/>
          <w:sz w:val="28"/>
          <w:szCs w:val="28"/>
        </w:rPr>
        <w:t>[CPL 60.49; CPLR 4519-a]</w:t>
      </w:r>
    </w:p>
    <w:p w14:paraId="28971657" w14:textId="77777777" w:rsidR="00932A21" w:rsidRPr="004D76A0" w:rsidRDefault="00932A21" w:rsidP="00C002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CB2251" w14:textId="03DF42C8" w:rsidR="0035399E" w:rsidRPr="004D76A0" w:rsidRDefault="006063D7" w:rsidP="00C0021D">
      <w:pPr>
        <w:pStyle w:val="ListParagraph"/>
        <w:spacing w:after="0" w:line="276" w:lineRule="auto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32A21" w:rsidRPr="004D76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For the purposes of this section, opioid antagonist is defined as a</w:t>
      </w:r>
      <w:r w:rsidR="0035399E" w:rsidRPr="004D7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drug approved by the Food and Drug Administration that, when administered, negates or neutralizes in whole or in part the pharmacological</w:t>
      </w:r>
      <w:r w:rsidR="0035399E" w:rsidRPr="004D7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effects of an opioid in the body and shall be limited to naloxone and</w:t>
      </w:r>
      <w:r w:rsidR="0035399E" w:rsidRPr="004D7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other medications approved by the department of health for such purpose.</w:t>
      </w:r>
    </w:p>
    <w:p w14:paraId="63CEDD0D" w14:textId="77777777" w:rsidR="0035399E" w:rsidRPr="004D76A0" w:rsidRDefault="0035399E" w:rsidP="00C0021D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F86F95" w14:textId="65F73483" w:rsidR="00E51F80" w:rsidRPr="004D76A0" w:rsidRDefault="006063D7" w:rsidP="00C0021D">
      <w:pPr>
        <w:pStyle w:val="ListParagraph"/>
        <w:spacing w:after="0" w:line="276" w:lineRule="auto"/>
        <w:ind w:righ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32A21" w:rsidRPr="004D76A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263F9" w:rsidRPr="004D76A0">
        <w:rPr>
          <w:rFonts w:ascii="Times New Roman" w:hAnsi="Times New Roman" w:cs="Times New Roman"/>
          <w:b/>
          <w:sz w:val="28"/>
          <w:szCs w:val="28"/>
        </w:rPr>
        <w:t xml:space="preserve">(a)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Evidence that a person was in possession of an opioid antagonist</w:t>
      </w:r>
      <w:r w:rsidR="0035399E" w:rsidRPr="004D7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may not be admitted at any trial, hearing or other proceeding in a prosecution for any offense under sections 220.03, 220.06, 220.09, 220.16</w:t>
      </w:r>
      <w:r w:rsidR="00B714BB" w:rsidRPr="004D76A0">
        <w:rPr>
          <w:rFonts w:ascii="Times New Roman" w:hAnsi="Times New Roman" w:cs="Times New Roman"/>
          <w:b/>
          <w:sz w:val="28"/>
          <w:szCs w:val="28"/>
        </w:rPr>
        <w:t>,</w:t>
      </w:r>
      <w:r w:rsidR="0035399E" w:rsidRPr="004D76A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220.18, or 220.21 of the </w:t>
      </w:r>
      <w:r w:rsidR="00E81F77">
        <w:rPr>
          <w:rFonts w:ascii="Times New Roman" w:hAnsi="Times New Roman" w:cs="Times New Roman"/>
          <w:b/>
          <w:sz w:val="28"/>
          <w:szCs w:val="28"/>
        </w:rPr>
        <w:t>Penal</w:t>
      </w:r>
      <w:r w:rsidR="008F4D36" w:rsidRPr="004D76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r w:rsidR="00E81F77">
        <w:rPr>
          <w:rFonts w:ascii="Times New Roman" w:hAnsi="Times New Roman" w:cs="Times New Roman"/>
          <w:b/>
          <w:sz w:val="28"/>
          <w:szCs w:val="28"/>
        </w:rPr>
        <w:t>L</w:t>
      </w:r>
      <w:r w:rsidR="008F4D36" w:rsidRPr="004D76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aw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for the purpose of establishing probable cause for an arrest or proving any person</w:t>
      </w:r>
      <w:r w:rsidR="004D3638" w:rsidRPr="004D76A0">
        <w:rPr>
          <w:rFonts w:ascii="Times New Roman" w:hAnsi="Times New Roman" w:cs="Times New Roman"/>
          <w:b/>
          <w:sz w:val="28"/>
          <w:szCs w:val="28"/>
        </w:rPr>
        <w:t>’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s commission of such</w:t>
      </w:r>
      <w:r w:rsidR="0035399E" w:rsidRPr="004D76A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offense.</w:t>
      </w:r>
    </w:p>
    <w:p w14:paraId="1BDD98A6" w14:textId="77777777" w:rsidR="00E51F80" w:rsidRPr="004D76A0" w:rsidRDefault="00E51F80" w:rsidP="00C0021D">
      <w:pPr>
        <w:pStyle w:val="ListParagraph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5A6F509" w14:textId="59D5F59D" w:rsidR="0035399E" w:rsidRPr="004D76A0" w:rsidRDefault="000263F9" w:rsidP="00C0021D">
      <w:pPr>
        <w:pStyle w:val="ListParagraph"/>
        <w:spacing w:after="0" w:line="276" w:lineRule="auto"/>
        <w:ind w:righ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4D76A0">
        <w:rPr>
          <w:rFonts w:ascii="Times New Roman" w:hAnsi="Times New Roman" w:cs="Times New Roman"/>
          <w:b/>
          <w:sz w:val="28"/>
          <w:szCs w:val="28"/>
        </w:rPr>
        <w:t xml:space="preserve">(b)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Possession of an opioid antagonist may not be received in evidence in</w:t>
      </w:r>
      <w:r w:rsidR="0035399E" w:rsidRPr="004D7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any trial, hearing or proceeding pursuant to subdivision one of section</w:t>
      </w:r>
      <w:r w:rsidR="0035399E" w:rsidRPr="004D76A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two hundred thirty-one</w:t>
      </w:r>
      <w:r w:rsidR="007A2F33" w:rsidRPr="004D7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and paragraph three of subdivision b of section</w:t>
      </w:r>
      <w:r w:rsidR="0035399E" w:rsidRPr="004D76A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two hundred thirty-three of the real property law</w:t>
      </w:r>
      <w:r w:rsidR="0035399E" w:rsidRPr="004D76A0">
        <w:rPr>
          <w:rFonts w:ascii="Times New Roman" w:hAnsi="Times New Roman" w:cs="Times New Roman"/>
          <w:b/>
          <w:sz w:val="28"/>
          <w:szCs w:val="28"/>
        </w:rPr>
        <w:t>[,]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or subdivision five of</w:t>
      </w:r>
      <w:r w:rsidR="0035399E" w:rsidRPr="004D76A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section seven hundred eleven</w:t>
      </w:r>
      <w:r w:rsidR="0035399E" w:rsidRPr="004D7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and subdivision one of section seven</w:t>
      </w:r>
      <w:r w:rsidR="0035399E" w:rsidRPr="004D76A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5399E" w:rsidRPr="004D76A0">
        <w:rPr>
          <w:rFonts w:ascii="Times New Roman" w:hAnsi="Times New Roman" w:cs="Times New Roman"/>
          <w:b/>
          <w:sz w:val="28"/>
          <w:szCs w:val="28"/>
          <w:lang w:val="x-none"/>
        </w:rPr>
        <w:t>hundred fifteen of the real property actions and proceedings law as</w:t>
      </w:r>
      <w:r w:rsidR="00422B73" w:rsidRPr="004D76A0">
        <w:rPr>
          <w:rFonts w:ascii="Times New Roman" w:eastAsia="Times New Roman" w:hAnsi="Times New Roman" w:cs="Times New Roman"/>
          <w:b/>
          <w:sz w:val="28"/>
          <w:szCs w:val="28"/>
        </w:rPr>
        <w:t xml:space="preserve"> evidence</w:t>
      </w:r>
      <w:r w:rsidR="0035399E" w:rsidRPr="004D76A0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that the building or premises are being used for illegal trade,</w:t>
      </w:r>
      <w:r w:rsidR="0035399E" w:rsidRPr="004D76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399E" w:rsidRPr="004D76A0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manufacture, or other illegal business.</w:t>
      </w:r>
    </w:p>
    <w:p w14:paraId="15421A3E" w14:textId="77777777" w:rsidR="00803A57" w:rsidRDefault="00803A57" w:rsidP="00C002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8B0D3" w14:textId="7E156149" w:rsidR="000263F9" w:rsidRPr="004D76A0" w:rsidRDefault="000263F9" w:rsidP="00C002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6A0">
        <w:rPr>
          <w:rFonts w:ascii="Times New Roman" w:hAnsi="Times New Roman" w:cs="Times New Roman"/>
          <w:b/>
          <w:bCs/>
          <w:sz w:val="24"/>
          <w:szCs w:val="24"/>
        </w:rPr>
        <w:t>Note</w:t>
      </w:r>
    </w:p>
    <w:p w14:paraId="055B07D4" w14:textId="77777777" w:rsidR="00932A21" w:rsidRPr="004D76A0" w:rsidRDefault="00932A21" w:rsidP="00C002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9C890" w14:textId="4AE624F1" w:rsidR="00EA0FA4" w:rsidRPr="004D76A0" w:rsidRDefault="000263F9" w:rsidP="00C002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A0">
        <w:rPr>
          <w:rFonts w:ascii="Times New Roman" w:hAnsi="Times New Roman" w:cs="Times New Roman"/>
          <w:sz w:val="24"/>
          <w:szCs w:val="24"/>
        </w:rPr>
        <w:tab/>
        <w:t xml:space="preserve">This rule </w:t>
      </w:r>
      <w:r w:rsidR="00607EDB" w:rsidRPr="004D76A0">
        <w:rPr>
          <w:rFonts w:ascii="Times New Roman" w:hAnsi="Times New Roman" w:cs="Times New Roman"/>
          <w:sz w:val="24"/>
          <w:szCs w:val="24"/>
        </w:rPr>
        <w:t xml:space="preserve">recites </w:t>
      </w:r>
      <w:r w:rsidR="003B1122" w:rsidRPr="004D76A0">
        <w:rPr>
          <w:rFonts w:ascii="Times New Roman" w:hAnsi="Times New Roman" w:cs="Times New Roman"/>
          <w:sz w:val="24"/>
          <w:szCs w:val="24"/>
        </w:rPr>
        <w:t>verbatim</w:t>
      </w:r>
      <w:r w:rsidR="007B2C12" w:rsidRPr="004D76A0">
        <w:rPr>
          <w:rFonts w:ascii="Times New Roman" w:hAnsi="Times New Roman" w:cs="Times New Roman"/>
          <w:sz w:val="24"/>
          <w:szCs w:val="24"/>
        </w:rPr>
        <w:t xml:space="preserve"> </w:t>
      </w:r>
      <w:r w:rsidR="00212EFD" w:rsidRPr="004D76A0">
        <w:rPr>
          <w:rFonts w:ascii="Times New Roman" w:hAnsi="Times New Roman" w:cs="Times New Roman"/>
          <w:sz w:val="24"/>
          <w:szCs w:val="24"/>
        </w:rPr>
        <w:t>the provisions of</w:t>
      </w:r>
      <w:r w:rsidRPr="004D76A0">
        <w:rPr>
          <w:rFonts w:ascii="Times New Roman" w:hAnsi="Times New Roman" w:cs="Times New Roman"/>
          <w:sz w:val="24"/>
          <w:szCs w:val="24"/>
        </w:rPr>
        <w:t xml:space="preserve"> CPL 60.49 and CPLR 4519-a</w:t>
      </w:r>
      <w:r w:rsidR="00212EFD" w:rsidRPr="004D76A0">
        <w:rPr>
          <w:rFonts w:ascii="Times New Roman" w:hAnsi="Times New Roman" w:cs="Times New Roman"/>
          <w:sz w:val="24"/>
          <w:szCs w:val="24"/>
        </w:rPr>
        <w:t xml:space="preserve"> that were added to the respective consolidated laws by L 2021, </w:t>
      </w:r>
      <w:proofErr w:type="spellStart"/>
      <w:r w:rsidR="00212EFD" w:rsidRPr="004D76A0">
        <w:rPr>
          <w:rFonts w:ascii="Times New Roman" w:hAnsi="Times New Roman" w:cs="Times New Roman"/>
          <w:sz w:val="24"/>
          <w:szCs w:val="24"/>
        </w:rPr>
        <w:t>c</w:t>
      </w:r>
      <w:r w:rsidR="00B83862" w:rsidRPr="004D76A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212EFD" w:rsidRPr="004D76A0">
        <w:rPr>
          <w:rFonts w:ascii="Times New Roman" w:hAnsi="Times New Roman" w:cs="Times New Roman"/>
          <w:sz w:val="24"/>
          <w:szCs w:val="24"/>
        </w:rPr>
        <w:t xml:space="preserve"> </w:t>
      </w:r>
      <w:r w:rsidR="00676C8C" w:rsidRPr="004D76A0">
        <w:rPr>
          <w:rFonts w:ascii="Times New Roman" w:hAnsi="Times New Roman" w:cs="Times New Roman"/>
          <w:sz w:val="24"/>
          <w:szCs w:val="24"/>
        </w:rPr>
        <w:t>431</w:t>
      </w:r>
      <w:r w:rsidR="00212EFD" w:rsidRPr="004D76A0">
        <w:rPr>
          <w:rFonts w:ascii="Times New Roman" w:hAnsi="Times New Roman" w:cs="Times New Roman"/>
          <w:sz w:val="24"/>
          <w:szCs w:val="24"/>
        </w:rPr>
        <w:t>.</w:t>
      </w:r>
    </w:p>
    <w:p w14:paraId="7A242191" w14:textId="77777777" w:rsidR="00932A21" w:rsidRPr="004D76A0" w:rsidRDefault="00932A21" w:rsidP="00C002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12690" w14:textId="3C77DC09" w:rsidR="000263F9" w:rsidRPr="004D76A0" w:rsidRDefault="000263F9" w:rsidP="00C002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A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76A0">
        <w:rPr>
          <w:rFonts w:ascii="Times New Roman" w:hAnsi="Times New Roman" w:cs="Times New Roman"/>
          <w:b/>
          <w:bCs/>
          <w:sz w:val="24"/>
          <w:szCs w:val="24"/>
        </w:rPr>
        <w:t>Subdivision (1)</w:t>
      </w:r>
      <w:r w:rsidRPr="004D76A0">
        <w:rPr>
          <w:rFonts w:ascii="Times New Roman" w:hAnsi="Times New Roman" w:cs="Times New Roman"/>
          <w:sz w:val="24"/>
          <w:szCs w:val="24"/>
        </w:rPr>
        <w:t xml:space="preserve"> sets forth verbatim the definition of “</w:t>
      </w:r>
      <w:r w:rsidR="003A46F3" w:rsidRPr="004D76A0">
        <w:rPr>
          <w:rFonts w:ascii="Times New Roman" w:hAnsi="Times New Roman" w:cs="Times New Roman"/>
          <w:sz w:val="24"/>
          <w:szCs w:val="24"/>
        </w:rPr>
        <w:t>o</w:t>
      </w:r>
      <w:r w:rsidRPr="004D76A0">
        <w:rPr>
          <w:rFonts w:ascii="Times New Roman" w:hAnsi="Times New Roman" w:cs="Times New Roman"/>
          <w:sz w:val="24"/>
          <w:szCs w:val="24"/>
        </w:rPr>
        <w:t xml:space="preserve">pioid </w:t>
      </w:r>
      <w:r w:rsidR="003A46F3" w:rsidRPr="004D76A0">
        <w:rPr>
          <w:rFonts w:ascii="Times New Roman" w:hAnsi="Times New Roman" w:cs="Times New Roman"/>
          <w:sz w:val="24"/>
          <w:szCs w:val="24"/>
        </w:rPr>
        <w:t>a</w:t>
      </w:r>
      <w:r w:rsidRPr="004D76A0">
        <w:rPr>
          <w:rFonts w:ascii="Times New Roman" w:hAnsi="Times New Roman" w:cs="Times New Roman"/>
          <w:sz w:val="24"/>
          <w:szCs w:val="24"/>
        </w:rPr>
        <w:t xml:space="preserve">ntagonist” that applies to both the CPL and </w:t>
      </w:r>
      <w:r w:rsidR="00D3567A" w:rsidRPr="004D76A0">
        <w:rPr>
          <w:rFonts w:ascii="Times New Roman" w:hAnsi="Times New Roman" w:cs="Times New Roman"/>
          <w:sz w:val="24"/>
          <w:szCs w:val="24"/>
        </w:rPr>
        <w:t xml:space="preserve">the </w:t>
      </w:r>
      <w:r w:rsidRPr="004D76A0">
        <w:rPr>
          <w:rFonts w:ascii="Times New Roman" w:hAnsi="Times New Roman" w:cs="Times New Roman"/>
          <w:sz w:val="24"/>
          <w:szCs w:val="24"/>
        </w:rPr>
        <w:t>CPLR</w:t>
      </w:r>
      <w:r w:rsidR="007537D9" w:rsidRPr="004D76A0">
        <w:rPr>
          <w:rFonts w:ascii="Times New Roman" w:hAnsi="Times New Roman" w:cs="Times New Roman"/>
          <w:sz w:val="24"/>
          <w:szCs w:val="24"/>
        </w:rPr>
        <w:t xml:space="preserve"> provisions</w:t>
      </w:r>
      <w:r w:rsidR="00C07522" w:rsidRPr="004D76A0">
        <w:rPr>
          <w:rFonts w:ascii="Times New Roman" w:hAnsi="Times New Roman" w:cs="Times New Roman"/>
          <w:sz w:val="24"/>
          <w:szCs w:val="24"/>
        </w:rPr>
        <w:t xml:space="preserve">. </w:t>
      </w:r>
      <w:r w:rsidR="0018151D" w:rsidRPr="004D76A0">
        <w:rPr>
          <w:rFonts w:ascii="Times New Roman" w:hAnsi="Times New Roman" w:cs="Times New Roman"/>
          <w:sz w:val="24"/>
          <w:szCs w:val="24"/>
        </w:rPr>
        <w:t>(</w:t>
      </w:r>
      <w:r w:rsidR="003A7834" w:rsidRPr="004D76A0">
        <w:rPr>
          <w:rFonts w:ascii="Times New Roman" w:hAnsi="Times New Roman" w:cs="Times New Roman"/>
          <w:sz w:val="24"/>
          <w:szCs w:val="24"/>
        </w:rPr>
        <w:t>CPL 60.49</w:t>
      </w:r>
      <w:r w:rsidR="00B83862" w:rsidRPr="004D76A0">
        <w:rPr>
          <w:rFonts w:ascii="Times New Roman" w:hAnsi="Times New Roman" w:cs="Times New Roman"/>
          <w:sz w:val="24"/>
          <w:szCs w:val="24"/>
        </w:rPr>
        <w:t xml:space="preserve"> </w:t>
      </w:r>
      <w:r w:rsidR="0018151D" w:rsidRPr="004D76A0">
        <w:rPr>
          <w:rFonts w:ascii="Times New Roman" w:hAnsi="Times New Roman" w:cs="Times New Roman"/>
          <w:sz w:val="24"/>
          <w:szCs w:val="24"/>
        </w:rPr>
        <w:t>[</w:t>
      </w:r>
      <w:r w:rsidR="003A7834" w:rsidRPr="004D76A0">
        <w:rPr>
          <w:rFonts w:ascii="Times New Roman" w:hAnsi="Times New Roman" w:cs="Times New Roman"/>
          <w:sz w:val="24"/>
          <w:szCs w:val="24"/>
        </w:rPr>
        <w:t>2</w:t>
      </w:r>
      <w:r w:rsidR="0018151D" w:rsidRPr="004D76A0">
        <w:rPr>
          <w:rFonts w:ascii="Times New Roman" w:hAnsi="Times New Roman" w:cs="Times New Roman"/>
          <w:sz w:val="24"/>
          <w:szCs w:val="24"/>
        </w:rPr>
        <w:t>]</w:t>
      </w:r>
      <w:r w:rsidR="003A7834" w:rsidRPr="004D76A0">
        <w:rPr>
          <w:rFonts w:ascii="Times New Roman" w:hAnsi="Times New Roman" w:cs="Times New Roman"/>
          <w:sz w:val="24"/>
          <w:szCs w:val="24"/>
        </w:rPr>
        <w:t xml:space="preserve">; CPLR 4519-a </w:t>
      </w:r>
      <w:r w:rsidR="0018151D" w:rsidRPr="004D76A0">
        <w:rPr>
          <w:rFonts w:ascii="Times New Roman" w:hAnsi="Times New Roman" w:cs="Times New Roman"/>
          <w:sz w:val="24"/>
          <w:szCs w:val="24"/>
        </w:rPr>
        <w:t>[</w:t>
      </w:r>
      <w:r w:rsidR="003A7834" w:rsidRPr="004D76A0">
        <w:rPr>
          <w:rFonts w:ascii="Times New Roman" w:hAnsi="Times New Roman" w:cs="Times New Roman"/>
          <w:sz w:val="24"/>
          <w:szCs w:val="24"/>
        </w:rPr>
        <w:t>2</w:t>
      </w:r>
      <w:r w:rsidR="0018151D" w:rsidRPr="004D76A0">
        <w:rPr>
          <w:rFonts w:ascii="Times New Roman" w:hAnsi="Times New Roman" w:cs="Times New Roman"/>
          <w:sz w:val="24"/>
          <w:szCs w:val="24"/>
        </w:rPr>
        <w:t>]</w:t>
      </w:r>
      <w:r w:rsidR="00735264" w:rsidRPr="004D76A0">
        <w:rPr>
          <w:rFonts w:ascii="Times New Roman" w:hAnsi="Times New Roman" w:cs="Times New Roman"/>
          <w:sz w:val="24"/>
          <w:szCs w:val="24"/>
        </w:rPr>
        <w:t>.</w:t>
      </w:r>
      <w:r w:rsidR="003A7834" w:rsidRPr="004D76A0">
        <w:rPr>
          <w:rFonts w:ascii="Times New Roman" w:hAnsi="Times New Roman" w:cs="Times New Roman"/>
          <w:sz w:val="24"/>
          <w:szCs w:val="24"/>
        </w:rPr>
        <w:t>)</w:t>
      </w:r>
    </w:p>
    <w:p w14:paraId="5D5CB057" w14:textId="77777777" w:rsidR="00932A21" w:rsidRPr="004D76A0" w:rsidRDefault="00932A21" w:rsidP="00C002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700E2" w14:textId="47E5ED4B" w:rsidR="000263F9" w:rsidRPr="004D76A0" w:rsidRDefault="000263F9" w:rsidP="00C002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A0">
        <w:rPr>
          <w:rFonts w:ascii="Times New Roman" w:hAnsi="Times New Roman" w:cs="Times New Roman"/>
          <w:sz w:val="24"/>
          <w:szCs w:val="24"/>
        </w:rPr>
        <w:tab/>
      </w:r>
      <w:r w:rsidRPr="004D76A0">
        <w:rPr>
          <w:rFonts w:ascii="Times New Roman" w:hAnsi="Times New Roman" w:cs="Times New Roman"/>
          <w:b/>
          <w:bCs/>
          <w:sz w:val="24"/>
          <w:szCs w:val="24"/>
        </w:rPr>
        <w:t>Subdivision (2)</w:t>
      </w:r>
      <w:r w:rsidR="00B83862" w:rsidRPr="004D7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297" w:rsidRPr="004D76A0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4D76A0">
        <w:rPr>
          <w:rFonts w:ascii="Times New Roman" w:hAnsi="Times New Roman" w:cs="Times New Roman"/>
          <w:sz w:val="24"/>
          <w:szCs w:val="24"/>
        </w:rPr>
        <w:t xml:space="preserve"> sets forth verbatim </w:t>
      </w:r>
      <w:r w:rsidR="00C76297" w:rsidRPr="004D76A0">
        <w:rPr>
          <w:rFonts w:ascii="Times New Roman" w:hAnsi="Times New Roman" w:cs="Times New Roman"/>
          <w:sz w:val="24"/>
          <w:szCs w:val="24"/>
        </w:rPr>
        <w:t>the provision in CPL 60.49</w:t>
      </w:r>
      <w:r w:rsidR="00B83862" w:rsidRPr="004D76A0">
        <w:rPr>
          <w:rFonts w:ascii="Times New Roman" w:hAnsi="Times New Roman" w:cs="Times New Roman"/>
          <w:sz w:val="24"/>
          <w:szCs w:val="24"/>
        </w:rPr>
        <w:t xml:space="preserve"> </w:t>
      </w:r>
      <w:r w:rsidR="00C76297" w:rsidRPr="004D76A0">
        <w:rPr>
          <w:rFonts w:ascii="Times New Roman" w:hAnsi="Times New Roman" w:cs="Times New Roman"/>
          <w:sz w:val="24"/>
          <w:szCs w:val="24"/>
        </w:rPr>
        <w:t>(1).</w:t>
      </w:r>
    </w:p>
    <w:p w14:paraId="5ACD4178" w14:textId="77777777" w:rsidR="00932A21" w:rsidRPr="004D76A0" w:rsidRDefault="00932A21" w:rsidP="00C002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68935" w14:textId="4BE93062" w:rsidR="00AD52FD" w:rsidRPr="004D76A0" w:rsidRDefault="00C76297" w:rsidP="00C002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A0">
        <w:rPr>
          <w:rFonts w:ascii="Times New Roman" w:hAnsi="Times New Roman" w:cs="Times New Roman"/>
          <w:sz w:val="24"/>
          <w:szCs w:val="24"/>
        </w:rPr>
        <w:tab/>
      </w:r>
      <w:r w:rsidR="0041111B" w:rsidRPr="004D76A0">
        <w:rPr>
          <w:rFonts w:ascii="Times New Roman" w:hAnsi="Times New Roman" w:cs="Times New Roman"/>
          <w:sz w:val="24"/>
          <w:szCs w:val="24"/>
        </w:rPr>
        <w:t xml:space="preserve">The statute prohibits the admission of evidence of opioid antagonists in prosecutions for all controlled substance </w:t>
      </w:r>
      <w:r w:rsidR="0041111B" w:rsidRPr="004D76A0">
        <w:rPr>
          <w:rFonts w:ascii="Times New Roman" w:hAnsi="Times New Roman" w:cs="Times New Roman"/>
          <w:i/>
          <w:iCs/>
          <w:sz w:val="24"/>
          <w:szCs w:val="24"/>
        </w:rPr>
        <w:t>possession</w:t>
      </w:r>
      <w:r w:rsidR="0041111B" w:rsidRPr="004D76A0">
        <w:rPr>
          <w:rFonts w:ascii="Times New Roman" w:hAnsi="Times New Roman" w:cs="Times New Roman"/>
          <w:sz w:val="24"/>
          <w:szCs w:val="24"/>
        </w:rPr>
        <w:t xml:space="preserve"> offenses</w:t>
      </w:r>
      <w:r w:rsidR="00B34424" w:rsidRPr="004D76A0">
        <w:rPr>
          <w:rFonts w:ascii="Times New Roman" w:hAnsi="Times New Roman" w:cs="Times New Roman"/>
          <w:sz w:val="24"/>
          <w:szCs w:val="24"/>
        </w:rPr>
        <w:t>,</w:t>
      </w:r>
      <w:r w:rsidR="0041111B" w:rsidRPr="004D76A0">
        <w:rPr>
          <w:rFonts w:ascii="Times New Roman" w:hAnsi="Times New Roman" w:cs="Times New Roman"/>
          <w:sz w:val="24"/>
          <w:szCs w:val="24"/>
        </w:rPr>
        <w:t xml:space="preserve"> but does not apply to </w:t>
      </w:r>
      <w:r w:rsidR="00C71CD8" w:rsidRPr="004D76A0">
        <w:rPr>
          <w:rFonts w:ascii="Times New Roman" w:hAnsi="Times New Roman" w:cs="Times New Roman"/>
          <w:sz w:val="24"/>
          <w:szCs w:val="24"/>
        </w:rPr>
        <w:t>prosecution</w:t>
      </w:r>
      <w:r w:rsidR="00C84BC1" w:rsidRPr="004D76A0">
        <w:rPr>
          <w:rFonts w:ascii="Times New Roman" w:hAnsi="Times New Roman" w:cs="Times New Roman"/>
          <w:sz w:val="24"/>
          <w:szCs w:val="24"/>
        </w:rPr>
        <w:t>s for</w:t>
      </w:r>
      <w:r w:rsidR="00C71CD8" w:rsidRPr="004D76A0">
        <w:rPr>
          <w:rFonts w:ascii="Times New Roman" w:hAnsi="Times New Roman" w:cs="Times New Roman"/>
          <w:sz w:val="24"/>
          <w:szCs w:val="24"/>
        </w:rPr>
        <w:t xml:space="preserve"> </w:t>
      </w:r>
      <w:r w:rsidR="0041111B" w:rsidRPr="004D76A0">
        <w:rPr>
          <w:rFonts w:ascii="Times New Roman" w:hAnsi="Times New Roman" w:cs="Times New Roman"/>
          <w:sz w:val="24"/>
          <w:szCs w:val="24"/>
        </w:rPr>
        <w:t xml:space="preserve">the sale, manufacture or trafficking of a controlled substance. </w:t>
      </w:r>
      <w:r w:rsidR="006600F1" w:rsidRPr="004D76A0">
        <w:rPr>
          <w:rFonts w:ascii="Times New Roman" w:hAnsi="Times New Roman" w:cs="Times New Roman"/>
          <w:sz w:val="24"/>
          <w:szCs w:val="24"/>
        </w:rPr>
        <w:t>The statute’s</w:t>
      </w:r>
      <w:r w:rsidR="0041111B" w:rsidRPr="004D76A0">
        <w:rPr>
          <w:rFonts w:ascii="Times New Roman" w:hAnsi="Times New Roman" w:cs="Times New Roman"/>
          <w:sz w:val="24"/>
          <w:szCs w:val="24"/>
        </w:rPr>
        <w:t xml:space="preserve"> evidentiary bar applies to “probable cause for an arrest” determinations and evidence to prove a person’s commission of a possession crime</w:t>
      </w:r>
      <w:r w:rsidR="006C6E54" w:rsidRPr="004D76A0">
        <w:rPr>
          <w:rFonts w:ascii="Times New Roman" w:hAnsi="Times New Roman" w:cs="Times New Roman"/>
          <w:sz w:val="24"/>
          <w:szCs w:val="24"/>
        </w:rPr>
        <w:t>,</w:t>
      </w:r>
      <w:r w:rsidR="0041111B" w:rsidRPr="004D76A0">
        <w:rPr>
          <w:rFonts w:ascii="Times New Roman" w:hAnsi="Times New Roman" w:cs="Times New Roman"/>
          <w:sz w:val="24"/>
          <w:szCs w:val="24"/>
        </w:rPr>
        <w:t xml:space="preserve"> but does not address whether </w:t>
      </w:r>
      <w:r w:rsidR="006C6E54" w:rsidRPr="004D76A0">
        <w:rPr>
          <w:rFonts w:ascii="Times New Roman" w:hAnsi="Times New Roman" w:cs="Times New Roman"/>
          <w:sz w:val="24"/>
          <w:szCs w:val="24"/>
        </w:rPr>
        <w:t>that</w:t>
      </w:r>
      <w:r w:rsidR="0041111B" w:rsidRPr="004D76A0">
        <w:rPr>
          <w:rFonts w:ascii="Times New Roman" w:hAnsi="Times New Roman" w:cs="Times New Roman"/>
          <w:sz w:val="24"/>
          <w:szCs w:val="24"/>
        </w:rPr>
        <w:t xml:space="preserve"> evidence </w:t>
      </w:r>
      <w:r w:rsidR="00287DCC" w:rsidRPr="004D76A0">
        <w:rPr>
          <w:rFonts w:ascii="Times New Roman" w:hAnsi="Times New Roman" w:cs="Times New Roman"/>
          <w:sz w:val="24"/>
          <w:szCs w:val="24"/>
        </w:rPr>
        <w:t xml:space="preserve">may </w:t>
      </w:r>
      <w:r w:rsidR="0041111B" w:rsidRPr="004D76A0">
        <w:rPr>
          <w:rFonts w:ascii="Times New Roman" w:hAnsi="Times New Roman" w:cs="Times New Roman"/>
          <w:sz w:val="24"/>
          <w:szCs w:val="24"/>
        </w:rPr>
        <w:t xml:space="preserve">be used to justify a law enforcement intrusion based on less than probable cause (for example, one based on “reasonable suspicion”) under the framework governing police encounters outlined by </w:t>
      </w:r>
      <w:r w:rsidR="0041111B" w:rsidRPr="004D76A0">
        <w:rPr>
          <w:rFonts w:ascii="Times New Roman" w:hAnsi="Times New Roman" w:cs="Times New Roman"/>
          <w:i/>
          <w:iCs/>
          <w:sz w:val="24"/>
          <w:szCs w:val="24"/>
        </w:rPr>
        <w:t>People v De</w:t>
      </w:r>
      <w:r w:rsidR="00EB6EA8" w:rsidRPr="004D76A0">
        <w:rPr>
          <w:rFonts w:ascii="Times New Roman" w:hAnsi="Times New Roman" w:cs="Times New Roman"/>
          <w:i/>
          <w:iCs/>
          <w:sz w:val="24"/>
          <w:szCs w:val="24"/>
        </w:rPr>
        <w:t xml:space="preserve"> B</w:t>
      </w:r>
      <w:r w:rsidR="0041111B" w:rsidRPr="004D76A0">
        <w:rPr>
          <w:rFonts w:ascii="Times New Roman" w:hAnsi="Times New Roman" w:cs="Times New Roman"/>
          <w:i/>
          <w:iCs/>
          <w:sz w:val="24"/>
          <w:szCs w:val="24"/>
        </w:rPr>
        <w:t xml:space="preserve">our </w:t>
      </w:r>
      <w:r w:rsidR="00526075" w:rsidRPr="004D76A0">
        <w:rPr>
          <w:rFonts w:ascii="Times New Roman" w:hAnsi="Times New Roman" w:cs="Times New Roman"/>
          <w:iCs/>
          <w:sz w:val="24"/>
          <w:szCs w:val="24"/>
        </w:rPr>
        <w:t>(</w:t>
      </w:r>
      <w:r w:rsidR="0041111B" w:rsidRPr="004D76A0">
        <w:rPr>
          <w:rFonts w:ascii="Times New Roman" w:hAnsi="Times New Roman" w:cs="Times New Roman"/>
          <w:sz w:val="24"/>
          <w:szCs w:val="24"/>
        </w:rPr>
        <w:t xml:space="preserve">40 </w:t>
      </w:r>
      <w:r w:rsidR="00790FDC" w:rsidRPr="004D76A0">
        <w:rPr>
          <w:rFonts w:ascii="Times New Roman" w:hAnsi="Times New Roman" w:cs="Times New Roman"/>
          <w:sz w:val="24"/>
          <w:szCs w:val="24"/>
        </w:rPr>
        <w:t>NY</w:t>
      </w:r>
      <w:r w:rsidR="0041111B" w:rsidRPr="004D76A0">
        <w:rPr>
          <w:rFonts w:ascii="Times New Roman" w:hAnsi="Times New Roman" w:cs="Times New Roman"/>
          <w:sz w:val="24"/>
          <w:szCs w:val="24"/>
        </w:rPr>
        <w:t xml:space="preserve">2d 210 </w:t>
      </w:r>
      <w:r w:rsidR="00526075" w:rsidRPr="004D76A0">
        <w:rPr>
          <w:rFonts w:ascii="Times New Roman" w:hAnsi="Times New Roman" w:cs="Times New Roman"/>
          <w:sz w:val="24"/>
          <w:szCs w:val="24"/>
        </w:rPr>
        <w:t>[</w:t>
      </w:r>
      <w:r w:rsidR="0041111B" w:rsidRPr="004D76A0">
        <w:rPr>
          <w:rFonts w:ascii="Times New Roman" w:hAnsi="Times New Roman" w:cs="Times New Roman"/>
          <w:sz w:val="24"/>
          <w:szCs w:val="24"/>
        </w:rPr>
        <w:t>1976</w:t>
      </w:r>
      <w:r w:rsidR="00526075" w:rsidRPr="004D76A0">
        <w:rPr>
          <w:rFonts w:ascii="Times New Roman" w:hAnsi="Times New Roman" w:cs="Times New Roman"/>
          <w:sz w:val="24"/>
          <w:szCs w:val="24"/>
        </w:rPr>
        <w:t>]</w:t>
      </w:r>
      <w:r w:rsidR="0041111B" w:rsidRPr="004D76A0">
        <w:rPr>
          <w:rFonts w:ascii="Times New Roman" w:hAnsi="Times New Roman" w:cs="Times New Roman"/>
          <w:sz w:val="24"/>
          <w:szCs w:val="24"/>
        </w:rPr>
        <w:t>) and its progeny.</w:t>
      </w:r>
    </w:p>
    <w:p w14:paraId="6FB49843" w14:textId="77777777" w:rsidR="00932A21" w:rsidRPr="004D76A0" w:rsidRDefault="00932A21" w:rsidP="00C002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94A29" w14:textId="1BADC4BA" w:rsidR="00683FC8" w:rsidRPr="004D76A0" w:rsidRDefault="00AD52FD" w:rsidP="00C002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A0">
        <w:rPr>
          <w:rFonts w:ascii="Times New Roman" w:hAnsi="Times New Roman" w:cs="Times New Roman"/>
          <w:b/>
          <w:bCs/>
          <w:sz w:val="24"/>
          <w:szCs w:val="24"/>
        </w:rPr>
        <w:tab/>
        <w:t>Subdivision (2)</w:t>
      </w:r>
      <w:r w:rsidR="00B83862" w:rsidRPr="004D7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6A0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4D76A0">
        <w:rPr>
          <w:rFonts w:ascii="Times New Roman" w:hAnsi="Times New Roman" w:cs="Times New Roman"/>
          <w:sz w:val="24"/>
          <w:szCs w:val="24"/>
        </w:rPr>
        <w:t xml:space="preserve"> sets forth verbatim the provision in CPLR 4519-a (1)</w:t>
      </w:r>
      <w:r w:rsidR="00C07522" w:rsidRPr="004D76A0">
        <w:rPr>
          <w:rFonts w:ascii="Times New Roman" w:hAnsi="Times New Roman" w:cs="Times New Roman"/>
          <w:sz w:val="24"/>
          <w:szCs w:val="24"/>
        </w:rPr>
        <w:t xml:space="preserve">. </w:t>
      </w:r>
      <w:r w:rsidR="00697BEA" w:rsidRPr="004D76A0">
        <w:rPr>
          <w:rFonts w:ascii="Times New Roman" w:hAnsi="Times New Roman" w:cs="Times New Roman"/>
          <w:sz w:val="24"/>
          <w:szCs w:val="24"/>
        </w:rPr>
        <w:t xml:space="preserve">The statutes referred to in that </w:t>
      </w:r>
      <w:r w:rsidR="00BB23B7" w:rsidRPr="004D76A0">
        <w:rPr>
          <w:rFonts w:ascii="Times New Roman" w:hAnsi="Times New Roman" w:cs="Times New Roman"/>
          <w:sz w:val="24"/>
          <w:szCs w:val="24"/>
        </w:rPr>
        <w:t>paragraph are: Real Property Law § 231</w:t>
      </w:r>
      <w:r w:rsidR="00B83862" w:rsidRPr="004D76A0">
        <w:rPr>
          <w:rFonts w:ascii="Times New Roman" w:hAnsi="Times New Roman" w:cs="Times New Roman"/>
          <w:sz w:val="24"/>
          <w:szCs w:val="24"/>
        </w:rPr>
        <w:t xml:space="preserve"> </w:t>
      </w:r>
      <w:r w:rsidR="00BB23B7" w:rsidRPr="004D76A0">
        <w:rPr>
          <w:rFonts w:ascii="Times New Roman" w:hAnsi="Times New Roman" w:cs="Times New Roman"/>
          <w:sz w:val="24"/>
          <w:szCs w:val="24"/>
        </w:rPr>
        <w:t xml:space="preserve">(1) </w:t>
      </w:r>
      <w:r w:rsidR="00735264" w:rsidRPr="004D76A0">
        <w:rPr>
          <w:rFonts w:ascii="Times New Roman" w:hAnsi="Times New Roman" w:cs="Times New Roman"/>
          <w:sz w:val="24"/>
          <w:szCs w:val="24"/>
        </w:rPr>
        <w:t>(</w:t>
      </w:r>
      <w:r w:rsidR="00D2677A" w:rsidRPr="004D76A0">
        <w:rPr>
          <w:rFonts w:ascii="Times New Roman" w:hAnsi="Times New Roman" w:cs="Times New Roman"/>
          <w:sz w:val="24"/>
          <w:szCs w:val="24"/>
        </w:rPr>
        <w:t>l</w:t>
      </w:r>
      <w:r w:rsidR="00E91B6A" w:rsidRPr="004D76A0">
        <w:rPr>
          <w:rFonts w:ascii="Times New Roman" w:hAnsi="Times New Roman" w:cs="Times New Roman"/>
          <w:sz w:val="24"/>
          <w:szCs w:val="24"/>
        </w:rPr>
        <w:t>ease, when void; liability of landlord where premises are occupied for unlawful purpose</w:t>
      </w:r>
      <w:r w:rsidR="00735264" w:rsidRPr="004D76A0">
        <w:rPr>
          <w:rFonts w:ascii="Times New Roman" w:hAnsi="Times New Roman" w:cs="Times New Roman"/>
          <w:sz w:val="24"/>
          <w:szCs w:val="24"/>
        </w:rPr>
        <w:t>)</w:t>
      </w:r>
      <w:r w:rsidR="00E91B6A" w:rsidRPr="004D76A0">
        <w:rPr>
          <w:rFonts w:ascii="Times New Roman" w:hAnsi="Times New Roman" w:cs="Times New Roman"/>
          <w:sz w:val="24"/>
          <w:szCs w:val="24"/>
        </w:rPr>
        <w:t xml:space="preserve">; Real Property Law § </w:t>
      </w:r>
      <w:r w:rsidR="00AF5E19" w:rsidRPr="004D76A0">
        <w:rPr>
          <w:rFonts w:ascii="Times New Roman" w:hAnsi="Times New Roman" w:cs="Times New Roman"/>
          <w:sz w:val="24"/>
          <w:szCs w:val="24"/>
        </w:rPr>
        <w:t>233</w:t>
      </w:r>
      <w:r w:rsidR="006017ED" w:rsidRPr="004D76A0">
        <w:rPr>
          <w:rFonts w:ascii="Times New Roman" w:hAnsi="Times New Roman" w:cs="Times New Roman"/>
          <w:sz w:val="24"/>
          <w:szCs w:val="24"/>
        </w:rPr>
        <w:t xml:space="preserve"> </w:t>
      </w:r>
      <w:r w:rsidR="00AF5E19" w:rsidRPr="004D76A0">
        <w:rPr>
          <w:rFonts w:ascii="Times New Roman" w:hAnsi="Times New Roman" w:cs="Times New Roman"/>
          <w:sz w:val="24"/>
          <w:szCs w:val="24"/>
        </w:rPr>
        <w:t>(b)</w:t>
      </w:r>
      <w:r w:rsidR="006017ED" w:rsidRPr="004D76A0">
        <w:rPr>
          <w:rFonts w:ascii="Times New Roman" w:hAnsi="Times New Roman" w:cs="Times New Roman"/>
          <w:sz w:val="24"/>
          <w:szCs w:val="24"/>
        </w:rPr>
        <w:t xml:space="preserve"> </w:t>
      </w:r>
      <w:r w:rsidR="00AF5E19" w:rsidRPr="004D76A0">
        <w:rPr>
          <w:rFonts w:ascii="Times New Roman" w:hAnsi="Times New Roman" w:cs="Times New Roman"/>
          <w:sz w:val="24"/>
          <w:szCs w:val="24"/>
        </w:rPr>
        <w:t xml:space="preserve">(3) </w:t>
      </w:r>
      <w:r w:rsidR="00735264" w:rsidRPr="004D76A0">
        <w:rPr>
          <w:rFonts w:ascii="Times New Roman" w:hAnsi="Times New Roman" w:cs="Times New Roman"/>
          <w:sz w:val="24"/>
          <w:szCs w:val="24"/>
        </w:rPr>
        <w:t>(</w:t>
      </w:r>
      <w:r w:rsidR="008B2E9A" w:rsidRPr="004D76A0">
        <w:rPr>
          <w:rFonts w:ascii="Times New Roman" w:hAnsi="Times New Roman" w:cs="Times New Roman"/>
          <w:sz w:val="24"/>
          <w:szCs w:val="24"/>
        </w:rPr>
        <w:t xml:space="preserve">eviction </w:t>
      </w:r>
      <w:r w:rsidR="00AD451B" w:rsidRPr="004D76A0">
        <w:rPr>
          <w:rFonts w:ascii="Times New Roman" w:hAnsi="Times New Roman" w:cs="Times New Roman"/>
          <w:sz w:val="24"/>
          <w:szCs w:val="24"/>
        </w:rPr>
        <w:t xml:space="preserve">from </w:t>
      </w:r>
      <w:r w:rsidR="001A5550" w:rsidRPr="004D76A0">
        <w:rPr>
          <w:rFonts w:ascii="Times New Roman" w:hAnsi="Times New Roman" w:cs="Times New Roman"/>
          <w:sz w:val="24"/>
          <w:szCs w:val="24"/>
        </w:rPr>
        <w:t xml:space="preserve">manufactured home </w:t>
      </w:r>
      <w:r w:rsidR="0067429D" w:rsidRPr="004D76A0">
        <w:rPr>
          <w:rFonts w:ascii="Times New Roman" w:hAnsi="Times New Roman" w:cs="Times New Roman"/>
          <w:sz w:val="24"/>
          <w:szCs w:val="24"/>
        </w:rPr>
        <w:t>parks</w:t>
      </w:r>
      <w:r w:rsidR="00735264" w:rsidRPr="004D76A0">
        <w:rPr>
          <w:rFonts w:ascii="Times New Roman" w:hAnsi="Times New Roman" w:cs="Times New Roman"/>
          <w:sz w:val="24"/>
          <w:szCs w:val="24"/>
        </w:rPr>
        <w:t>)</w:t>
      </w:r>
      <w:r w:rsidR="00E84D1E" w:rsidRPr="004D76A0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Hlk86305344"/>
      <w:r w:rsidR="00D12B06" w:rsidRPr="004D76A0">
        <w:rPr>
          <w:rFonts w:ascii="Times New Roman" w:hAnsi="Times New Roman" w:cs="Times New Roman"/>
          <w:sz w:val="24"/>
          <w:szCs w:val="24"/>
        </w:rPr>
        <w:t xml:space="preserve">Real Property Actions and Proceedings Law </w:t>
      </w:r>
      <w:bookmarkStart w:id="1" w:name="_Hlk88484361"/>
      <w:r w:rsidR="007300AD" w:rsidRPr="004D76A0">
        <w:rPr>
          <w:rFonts w:ascii="Times New Roman" w:hAnsi="Times New Roman" w:cs="Times New Roman"/>
          <w:sz w:val="24"/>
          <w:szCs w:val="24"/>
        </w:rPr>
        <w:t>§</w:t>
      </w:r>
      <w:r w:rsidR="00A81570" w:rsidRPr="004D76A0">
        <w:rPr>
          <w:rFonts w:ascii="Times New Roman" w:hAnsi="Times New Roman" w:cs="Times New Roman"/>
          <w:sz w:val="24"/>
          <w:szCs w:val="24"/>
        </w:rPr>
        <w:t xml:space="preserve"> </w:t>
      </w:r>
      <w:r w:rsidR="00800C25" w:rsidRPr="004D76A0">
        <w:rPr>
          <w:rFonts w:ascii="Times New Roman" w:hAnsi="Times New Roman" w:cs="Times New Roman"/>
          <w:sz w:val="24"/>
          <w:szCs w:val="24"/>
        </w:rPr>
        <w:t>71</w:t>
      </w:r>
      <w:r w:rsidR="009C31EA" w:rsidRPr="004D76A0">
        <w:rPr>
          <w:rFonts w:ascii="Times New Roman" w:hAnsi="Times New Roman" w:cs="Times New Roman"/>
          <w:sz w:val="24"/>
          <w:szCs w:val="24"/>
        </w:rPr>
        <w:t xml:space="preserve">1 </w:t>
      </w:r>
      <w:r w:rsidR="00800C25" w:rsidRPr="004D76A0">
        <w:rPr>
          <w:rFonts w:ascii="Times New Roman" w:hAnsi="Times New Roman" w:cs="Times New Roman"/>
          <w:sz w:val="24"/>
          <w:szCs w:val="24"/>
        </w:rPr>
        <w:t>(</w:t>
      </w:r>
      <w:r w:rsidR="007300AD" w:rsidRPr="004D76A0">
        <w:rPr>
          <w:rFonts w:ascii="Times New Roman" w:hAnsi="Times New Roman" w:cs="Times New Roman"/>
          <w:sz w:val="24"/>
          <w:szCs w:val="24"/>
        </w:rPr>
        <w:t>5</w:t>
      </w:r>
      <w:r w:rsidR="00F57E75" w:rsidRPr="004D76A0">
        <w:rPr>
          <w:rFonts w:ascii="Times New Roman" w:hAnsi="Times New Roman" w:cs="Times New Roman"/>
          <w:sz w:val="24"/>
          <w:szCs w:val="24"/>
        </w:rPr>
        <w:t>)</w:t>
      </w:r>
      <w:r w:rsidR="007A5472" w:rsidRPr="004D76A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735264" w:rsidRPr="004D76A0">
        <w:rPr>
          <w:rFonts w:ascii="Times New Roman" w:hAnsi="Times New Roman" w:cs="Times New Roman"/>
          <w:sz w:val="24"/>
          <w:szCs w:val="24"/>
        </w:rPr>
        <w:t>(</w:t>
      </w:r>
      <w:bookmarkStart w:id="2" w:name="_Hlk88484584"/>
      <w:r w:rsidR="002642CF" w:rsidRPr="004D76A0">
        <w:rPr>
          <w:rFonts w:ascii="Times New Roman" w:hAnsi="Times New Roman" w:cs="Times New Roman"/>
          <w:sz w:val="24"/>
          <w:szCs w:val="24"/>
        </w:rPr>
        <w:t>g</w:t>
      </w:r>
      <w:r w:rsidR="007A5472" w:rsidRPr="004D76A0">
        <w:rPr>
          <w:rFonts w:ascii="Times New Roman" w:hAnsi="Times New Roman" w:cs="Times New Roman"/>
          <w:sz w:val="24"/>
          <w:szCs w:val="24"/>
        </w:rPr>
        <w:t xml:space="preserve">rounds </w:t>
      </w:r>
      <w:r w:rsidR="005E031A" w:rsidRPr="004D76A0">
        <w:rPr>
          <w:rFonts w:ascii="Times New Roman" w:hAnsi="Times New Roman" w:cs="Times New Roman"/>
          <w:sz w:val="24"/>
          <w:szCs w:val="24"/>
        </w:rPr>
        <w:t xml:space="preserve">for </w:t>
      </w:r>
      <w:r w:rsidR="009D3F83" w:rsidRPr="004D76A0">
        <w:rPr>
          <w:rFonts w:ascii="Times New Roman" w:hAnsi="Times New Roman" w:cs="Times New Roman"/>
          <w:sz w:val="24"/>
          <w:szCs w:val="24"/>
        </w:rPr>
        <w:t>proceeding</w:t>
      </w:r>
      <w:r w:rsidR="005E031A" w:rsidRPr="004D76A0">
        <w:rPr>
          <w:rFonts w:ascii="Times New Roman" w:hAnsi="Times New Roman" w:cs="Times New Roman"/>
          <w:sz w:val="24"/>
          <w:szCs w:val="24"/>
        </w:rPr>
        <w:t xml:space="preserve"> to recover </w:t>
      </w:r>
      <w:r w:rsidR="00FD68E5" w:rsidRPr="004D76A0">
        <w:rPr>
          <w:rFonts w:ascii="Times New Roman" w:hAnsi="Times New Roman" w:cs="Times New Roman"/>
          <w:sz w:val="24"/>
          <w:szCs w:val="24"/>
        </w:rPr>
        <w:t xml:space="preserve">possession of </w:t>
      </w:r>
      <w:r w:rsidR="005E031A" w:rsidRPr="004D76A0">
        <w:rPr>
          <w:rFonts w:ascii="Times New Roman" w:hAnsi="Times New Roman" w:cs="Times New Roman"/>
          <w:sz w:val="24"/>
          <w:szCs w:val="24"/>
        </w:rPr>
        <w:t xml:space="preserve">real property </w:t>
      </w:r>
      <w:r w:rsidR="007A5472" w:rsidRPr="004D76A0">
        <w:rPr>
          <w:rFonts w:ascii="Times New Roman" w:hAnsi="Times New Roman" w:cs="Times New Roman"/>
          <w:sz w:val="24"/>
          <w:szCs w:val="24"/>
        </w:rPr>
        <w:t>where landlord-tenant relationship</w:t>
      </w:r>
      <w:r w:rsidR="006D47C2" w:rsidRPr="004D76A0">
        <w:rPr>
          <w:rFonts w:ascii="Times New Roman" w:hAnsi="Times New Roman" w:cs="Times New Roman"/>
          <w:sz w:val="24"/>
          <w:szCs w:val="24"/>
        </w:rPr>
        <w:t xml:space="preserve"> exists</w:t>
      </w:r>
      <w:bookmarkEnd w:id="0"/>
      <w:bookmarkEnd w:id="2"/>
      <w:r w:rsidR="00735264" w:rsidRPr="004D76A0">
        <w:rPr>
          <w:rFonts w:ascii="Times New Roman" w:hAnsi="Times New Roman" w:cs="Times New Roman"/>
          <w:sz w:val="24"/>
          <w:szCs w:val="24"/>
        </w:rPr>
        <w:t>)</w:t>
      </w:r>
      <w:r w:rsidR="00204032" w:rsidRPr="004D76A0">
        <w:rPr>
          <w:rFonts w:ascii="Times New Roman" w:hAnsi="Times New Roman" w:cs="Times New Roman"/>
          <w:sz w:val="24"/>
          <w:szCs w:val="24"/>
        </w:rPr>
        <w:t>;</w:t>
      </w:r>
      <w:r w:rsidR="007A5472" w:rsidRPr="004D76A0">
        <w:rPr>
          <w:rFonts w:ascii="Times New Roman" w:hAnsi="Times New Roman" w:cs="Times New Roman"/>
          <w:sz w:val="24"/>
          <w:szCs w:val="24"/>
        </w:rPr>
        <w:t xml:space="preserve"> </w:t>
      </w:r>
      <w:r w:rsidR="007300AD" w:rsidRPr="004D76A0">
        <w:rPr>
          <w:rFonts w:ascii="Times New Roman" w:hAnsi="Times New Roman" w:cs="Times New Roman"/>
          <w:sz w:val="24"/>
          <w:szCs w:val="24"/>
        </w:rPr>
        <w:t xml:space="preserve">and </w:t>
      </w:r>
      <w:r w:rsidR="00354B7C" w:rsidRPr="004D76A0">
        <w:rPr>
          <w:rFonts w:ascii="Times New Roman" w:hAnsi="Times New Roman" w:cs="Times New Roman"/>
          <w:sz w:val="24"/>
          <w:szCs w:val="24"/>
        </w:rPr>
        <w:t>Real Property Actions and Proceedings Law §</w:t>
      </w:r>
      <w:r w:rsidR="007C23CB" w:rsidRPr="004D76A0">
        <w:rPr>
          <w:rFonts w:ascii="Times New Roman" w:hAnsi="Times New Roman" w:cs="Times New Roman"/>
          <w:sz w:val="24"/>
          <w:szCs w:val="24"/>
        </w:rPr>
        <w:t xml:space="preserve"> </w:t>
      </w:r>
      <w:r w:rsidR="00354B7C" w:rsidRPr="004D76A0">
        <w:rPr>
          <w:rFonts w:ascii="Times New Roman" w:hAnsi="Times New Roman" w:cs="Times New Roman"/>
          <w:sz w:val="24"/>
          <w:szCs w:val="24"/>
        </w:rPr>
        <w:t>715</w:t>
      </w:r>
      <w:r w:rsidR="00204032" w:rsidRPr="004D76A0">
        <w:rPr>
          <w:rFonts w:ascii="Times New Roman" w:hAnsi="Times New Roman" w:cs="Times New Roman"/>
          <w:sz w:val="24"/>
          <w:szCs w:val="24"/>
        </w:rPr>
        <w:t xml:space="preserve"> </w:t>
      </w:r>
      <w:r w:rsidR="00354B7C" w:rsidRPr="004D76A0">
        <w:rPr>
          <w:rFonts w:ascii="Times New Roman" w:hAnsi="Times New Roman" w:cs="Times New Roman"/>
          <w:sz w:val="24"/>
          <w:szCs w:val="24"/>
        </w:rPr>
        <w:t xml:space="preserve">(1) </w:t>
      </w:r>
      <w:r w:rsidR="00735264" w:rsidRPr="004D76A0">
        <w:rPr>
          <w:rFonts w:ascii="Times New Roman" w:hAnsi="Times New Roman" w:cs="Times New Roman"/>
          <w:sz w:val="24"/>
          <w:szCs w:val="24"/>
        </w:rPr>
        <w:t>(</w:t>
      </w:r>
      <w:r w:rsidR="002642CF" w:rsidRPr="004D76A0">
        <w:rPr>
          <w:rFonts w:ascii="Times New Roman" w:hAnsi="Times New Roman" w:cs="Times New Roman"/>
          <w:sz w:val="24"/>
          <w:szCs w:val="24"/>
        </w:rPr>
        <w:t>g</w:t>
      </w:r>
      <w:r w:rsidR="00683FC8" w:rsidRPr="004D76A0">
        <w:rPr>
          <w:rFonts w:ascii="Times New Roman" w:hAnsi="Times New Roman" w:cs="Times New Roman"/>
          <w:sz w:val="24"/>
          <w:szCs w:val="24"/>
        </w:rPr>
        <w:t xml:space="preserve">rounds and procedure </w:t>
      </w:r>
      <w:r w:rsidR="00202A98" w:rsidRPr="004D76A0">
        <w:rPr>
          <w:rFonts w:ascii="Times New Roman" w:hAnsi="Times New Roman" w:cs="Times New Roman"/>
          <w:sz w:val="24"/>
          <w:szCs w:val="24"/>
        </w:rPr>
        <w:t xml:space="preserve">to recover possession of real property </w:t>
      </w:r>
      <w:r w:rsidR="00683FC8" w:rsidRPr="004D76A0">
        <w:rPr>
          <w:rFonts w:ascii="Times New Roman" w:hAnsi="Times New Roman" w:cs="Times New Roman"/>
          <w:sz w:val="24"/>
          <w:szCs w:val="24"/>
        </w:rPr>
        <w:t>where use or occupancy is illegal</w:t>
      </w:r>
      <w:r w:rsidR="00735264" w:rsidRPr="004D76A0">
        <w:rPr>
          <w:rFonts w:ascii="Times New Roman" w:hAnsi="Times New Roman" w:cs="Times New Roman"/>
          <w:sz w:val="24"/>
          <w:szCs w:val="24"/>
        </w:rPr>
        <w:t>)</w:t>
      </w:r>
      <w:r w:rsidR="00683FC8" w:rsidRPr="004D76A0">
        <w:rPr>
          <w:rFonts w:ascii="Times New Roman" w:hAnsi="Times New Roman" w:cs="Times New Roman"/>
          <w:sz w:val="24"/>
          <w:szCs w:val="24"/>
        </w:rPr>
        <w:t>.</w:t>
      </w:r>
    </w:p>
    <w:p w14:paraId="4F2ABE61" w14:textId="77777777" w:rsidR="00932A21" w:rsidRPr="004D76A0" w:rsidRDefault="00932A21" w:rsidP="00C002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19A3A" w14:textId="1C2D53B4" w:rsidR="005D12B0" w:rsidRPr="004D76A0" w:rsidRDefault="0059213B" w:rsidP="00C0021D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6A0">
        <w:rPr>
          <w:rFonts w:ascii="Times New Roman" w:eastAsia="Times New Roman" w:hAnsi="Times New Roman" w:cs="Times New Roman"/>
          <w:sz w:val="24"/>
          <w:szCs w:val="24"/>
        </w:rPr>
        <w:tab/>
      </w:r>
      <w:r w:rsidR="00C034ED" w:rsidRPr="004D76A0">
        <w:rPr>
          <w:rFonts w:ascii="Times New Roman" w:eastAsia="Times New Roman" w:hAnsi="Times New Roman" w:cs="Times New Roman"/>
          <w:sz w:val="24"/>
          <w:szCs w:val="24"/>
        </w:rPr>
        <w:t>The Legislative Memorandum in support of the legislation</w:t>
      </w:r>
      <w:r w:rsidR="00F50F8E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4ED" w:rsidRPr="004D76A0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5D12B0" w:rsidRPr="004D76A0">
        <w:rPr>
          <w:rFonts w:ascii="Times New Roman" w:eastAsia="Times New Roman" w:hAnsi="Times New Roman" w:cs="Times New Roman"/>
          <w:sz w:val="24"/>
          <w:szCs w:val="24"/>
        </w:rPr>
        <w:t>ed that</w:t>
      </w:r>
    </w:p>
    <w:p w14:paraId="027FE873" w14:textId="77777777" w:rsidR="005D12B0" w:rsidRPr="004D76A0" w:rsidRDefault="005D12B0" w:rsidP="00C0021D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58E4C" w14:textId="1FEA0E34" w:rsidR="00643C57" w:rsidRPr="004D76A0" w:rsidRDefault="005D12B0" w:rsidP="00C0021D">
      <w:pPr>
        <w:autoSpaceDE w:val="0"/>
        <w:autoSpaceDN w:val="0"/>
        <w:adjustRightInd w:val="0"/>
        <w:snapToGrid w:val="0"/>
        <w:spacing w:after="0" w:line="276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4D76A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35264" w:rsidRPr="004D76A0">
        <w:rPr>
          <w:rFonts w:ascii="Times New Roman" w:eastAsia="Times New Roman" w:hAnsi="Times New Roman" w:cs="Times New Roman"/>
          <w:sz w:val="24"/>
          <w:szCs w:val="24"/>
        </w:rPr>
        <w:t>[o]</w:t>
      </w:r>
      <w:r w:rsidR="00547421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pioid antagonists, such as naloxone, have been in existence since the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421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1960s and have helped in preventing numerous heroin and opiate overdose-related deaths in emergency situations</w:t>
      </w:r>
      <w:r w:rsidR="00C07522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 </w:t>
      </w:r>
      <w:r w:rsidR="00547421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Recent legislation and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421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actions by law enforcement and chemical dependence prevention and treatment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421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providers have increased the availability of naloxone to those with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421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addiction to heroin and opiates</w:t>
      </w:r>
      <w:r w:rsidR="009D3F83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4D5" w:rsidRPr="009324D5">
        <w:rPr>
          <w:rFonts w:ascii="Times New Roman" w:eastAsia="Calibri" w:hAnsi="Times New Roman" w:cs="Times New Roman"/>
          <w:sz w:val="24"/>
          <w:szCs w:val="24"/>
        </w:rPr>
        <w:t>and to those who care for individuals with substance use issues, including family members and medical professionals.</w:t>
      </w:r>
      <w:r w:rsidR="00547421" w:rsidRPr="009324D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At hearings</w:t>
      </w:r>
      <w:r w:rsidR="00547421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and roundtable discussions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held by the Assembly, chemical dependence prevention and treatment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providers, physicians, drug policy experts, and law enforcement all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cited the importance of the availability of opioid antagonists in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preventing overdose-related deaths. Although medical treatment is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required after an opioid antagonist is administered, its use and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possession should not be discouraged amongst those who need it</w:t>
      </w:r>
      <w:r w:rsidR="000938AF" w:rsidRPr="004D76A0">
        <w:rPr>
          <w:rFonts w:ascii="Times New Roman" w:eastAsia="Times New Roman" w:hAnsi="Times New Roman" w:cs="Times New Roman"/>
          <w:sz w:val="24"/>
          <w:szCs w:val="24"/>
        </w:rPr>
        <w:t xml:space="preserve"> most.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By</w:t>
      </w:r>
      <w:r w:rsidR="000938AF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prohibiting the possession of opioid antagonists as evidence in court of</w:t>
      </w:r>
      <w:r w:rsidR="000938AF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possession 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>of controlled substances</w:t>
      </w:r>
      <w:r w:rsidR="00204032" w:rsidRPr="004D76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this bill would help to encourage</w:t>
      </w:r>
      <w:r w:rsidR="000938AF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people to obtain and possess opioid antagonists and continue to save</w:t>
      </w:r>
      <w:r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5A9" w:rsidRPr="004D76A0">
        <w:rPr>
          <w:rFonts w:ascii="Times New Roman" w:eastAsia="Times New Roman" w:hAnsi="Times New Roman" w:cs="Times New Roman"/>
          <w:sz w:val="24"/>
          <w:szCs w:val="24"/>
          <w:lang w:val="x-none"/>
        </w:rPr>
        <w:t>lives.</w:t>
      </w:r>
      <w:r w:rsidRPr="004D76A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B7FD9" w:rsidRPr="004D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FFB" w:rsidRPr="004D76A0">
        <w:rPr>
          <w:rFonts w:ascii="Times New Roman" w:eastAsia="Times New Roman" w:hAnsi="Times New Roman" w:cs="Times New Roman"/>
          <w:sz w:val="24"/>
          <w:szCs w:val="24"/>
        </w:rPr>
        <w:t xml:space="preserve">(Sponsor’s Mem in Support of 2021 NY Assembly Bill </w:t>
      </w:r>
      <w:r w:rsidR="0096742B" w:rsidRPr="004D76A0">
        <w:rPr>
          <w:rFonts w:ascii="Times New Roman" w:eastAsia="Times New Roman" w:hAnsi="Times New Roman" w:cs="Times New Roman"/>
          <w:sz w:val="24"/>
          <w:szCs w:val="24"/>
        </w:rPr>
        <w:t xml:space="preserve">A2354, enacted as </w:t>
      </w:r>
      <w:r w:rsidR="000B7FD9" w:rsidRPr="004D76A0">
        <w:rPr>
          <w:rFonts w:ascii="Times New Roman" w:eastAsia="Times New Roman" w:hAnsi="Times New Roman" w:cs="Times New Roman"/>
          <w:sz w:val="24"/>
          <w:szCs w:val="24"/>
        </w:rPr>
        <w:t xml:space="preserve">L 2021, </w:t>
      </w:r>
      <w:proofErr w:type="spellStart"/>
      <w:r w:rsidR="000B7FD9" w:rsidRPr="004D76A0">
        <w:rPr>
          <w:rFonts w:ascii="Times New Roman" w:eastAsia="Times New Roman" w:hAnsi="Times New Roman" w:cs="Times New Roman"/>
          <w:sz w:val="24"/>
          <w:szCs w:val="24"/>
        </w:rPr>
        <w:t>c</w:t>
      </w:r>
      <w:r w:rsidR="0096742B" w:rsidRPr="004D76A0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0B7FD9" w:rsidRPr="004D76A0">
        <w:rPr>
          <w:rFonts w:ascii="Times New Roman" w:eastAsia="Times New Roman" w:hAnsi="Times New Roman" w:cs="Times New Roman"/>
          <w:sz w:val="24"/>
          <w:szCs w:val="24"/>
        </w:rPr>
        <w:t xml:space="preserve"> 431.</w:t>
      </w:r>
      <w:r w:rsidR="0096742B" w:rsidRPr="004D76A0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643C57" w:rsidRPr="004D76A0" w:rsidSect="00803A57">
      <w:footerReference w:type="default" r:id="rId7"/>
      <w:pgSz w:w="12240" w:h="15840" w:code="1"/>
      <w:pgMar w:top="1080" w:right="2160" w:bottom="1080" w:left="21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6C85" w14:textId="77777777" w:rsidR="003511A7" w:rsidRDefault="003511A7" w:rsidP="00290942">
      <w:pPr>
        <w:spacing w:after="0" w:line="240" w:lineRule="auto"/>
      </w:pPr>
      <w:r>
        <w:separator/>
      </w:r>
    </w:p>
  </w:endnote>
  <w:endnote w:type="continuationSeparator" w:id="0">
    <w:p w14:paraId="308AAF12" w14:textId="77777777" w:rsidR="003511A7" w:rsidRDefault="003511A7" w:rsidP="0029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85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C8C53" w14:textId="37F29766" w:rsidR="00290942" w:rsidRDefault="00290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7771" w14:textId="77777777" w:rsidR="003511A7" w:rsidRDefault="003511A7" w:rsidP="00290942">
      <w:pPr>
        <w:spacing w:after="0" w:line="240" w:lineRule="auto"/>
      </w:pPr>
      <w:r>
        <w:separator/>
      </w:r>
    </w:p>
  </w:footnote>
  <w:footnote w:type="continuationSeparator" w:id="0">
    <w:p w14:paraId="129B89DD" w14:textId="77777777" w:rsidR="003511A7" w:rsidRDefault="003511A7" w:rsidP="0029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224"/>
    <w:multiLevelType w:val="hybridMultilevel"/>
    <w:tmpl w:val="B1A23ACC"/>
    <w:lvl w:ilvl="0" w:tplc="96525A6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7D6E"/>
    <w:multiLevelType w:val="multilevel"/>
    <w:tmpl w:val="6196159E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061C46"/>
    <w:multiLevelType w:val="hybridMultilevel"/>
    <w:tmpl w:val="CB6E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98444">
    <w:abstractNumId w:val="2"/>
  </w:num>
  <w:num w:numId="2" w16cid:durableId="63335280">
    <w:abstractNumId w:val="0"/>
  </w:num>
  <w:num w:numId="3" w16cid:durableId="801995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9E"/>
    <w:rsid w:val="00014129"/>
    <w:rsid w:val="00020069"/>
    <w:rsid w:val="000263F9"/>
    <w:rsid w:val="00037574"/>
    <w:rsid w:val="00041823"/>
    <w:rsid w:val="0007150C"/>
    <w:rsid w:val="000938AF"/>
    <w:rsid w:val="000B7FD9"/>
    <w:rsid w:val="00102B10"/>
    <w:rsid w:val="00145646"/>
    <w:rsid w:val="00166C52"/>
    <w:rsid w:val="0018151D"/>
    <w:rsid w:val="001934D7"/>
    <w:rsid w:val="00196FC6"/>
    <w:rsid w:val="001A5193"/>
    <w:rsid w:val="001A5550"/>
    <w:rsid w:val="001D40C6"/>
    <w:rsid w:val="001D4CBC"/>
    <w:rsid w:val="00202A98"/>
    <w:rsid w:val="00204032"/>
    <w:rsid w:val="00212EFD"/>
    <w:rsid w:val="00232C45"/>
    <w:rsid w:val="002642CF"/>
    <w:rsid w:val="00287DCC"/>
    <w:rsid w:val="002906B4"/>
    <w:rsid w:val="00290942"/>
    <w:rsid w:val="002E08C1"/>
    <w:rsid w:val="002E71A9"/>
    <w:rsid w:val="002F5632"/>
    <w:rsid w:val="003511A7"/>
    <w:rsid w:val="0035399E"/>
    <w:rsid w:val="00354B7C"/>
    <w:rsid w:val="003A3A0E"/>
    <w:rsid w:val="003A46F3"/>
    <w:rsid w:val="003A7834"/>
    <w:rsid w:val="003B1122"/>
    <w:rsid w:val="00403D1E"/>
    <w:rsid w:val="00406BFB"/>
    <w:rsid w:val="0041111B"/>
    <w:rsid w:val="00422B64"/>
    <w:rsid w:val="00422B73"/>
    <w:rsid w:val="0044118E"/>
    <w:rsid w:val="004C53BE"/>
    <w:rsid w:val="004D3638"/>
    <w:rsid w:val="004D5550"/>
    <w:rsid w:val="004D76A0"/>
    <w:rsid w:val="00526075"/>
    <w:rsid w:val="00547421"/>
    <w:rsid w:val="0059213B"/>
    <w:rsid w:val="00596467"/>
    <w:rsid w:val="005A5EE9"/>
    <w:rsid w:val="005C43CA"/>
    <w:rsid w:val="005D12B0"/>
    <w:rsid w:val="005E031A"/>
    <w:rsid w:val="006017ED"/>
    <w:rsid w:val="006063D7"/>
    <w:rsid w:val="00607EDB"/>
    <w:rsid w:val="00612468"/>
    <w:rsid w:val="00641D92"/>
    <w:rsid w:val="00643C57"/>
    <w:rsid w:val="006600F1"/>
    <w:rsid w:val="0067429D"/>
    <w:rsid w:val="00676C8C"/>
    <w:rsid w:val="00683FC8"/>
    <w:rsid w:val="00697BEA"/>
    <w:rsid w:val="006C6E54"/>
    <w:rsid w:val="006D47C2"/>
    <w:rsid w:val="00702BB4"/>
    <w:rsid w:val="007049D6"/>
    <w:rsid w:val="007119B3"/>
    <w:rsid w:val="007300AD"/>
    <w:rsid w:val="00735264"/>
    <w:rsid w:val="007537D9"/>
    <w:rsid w:val="00757880"/>
    <w:rsid w:val="00790FDC"/>
    <w:rsid w:val="007A2F33"/>
    <w:rsid w:val="007A5472"/>
    <w:rsid w:val="007B2C12"/>
    <w:rsid w:val="007C032A"/>
    <w:rsid w:val="007C23CB"/>
    <w:rsid w:val="007C5B9A"/>
    <w:rsid w:val="007D7B7B"/>
    <w:rsid w:val="00800C25"/>
    <w:rsid w:val="00803A57"/>
    <w:rsid w:val="008B2E9A"/>
    <w:rsid w:val="008C11F2"/>
    <w:rsid w:val="008C472E"/>
    <w:rsid w:val="008F4517"/>
    <w:rsid w:val="008F4D36"/>
    <w:rsid w:val="009324D5"/>
    <w:rsid w:val="00932A21"/>
    <w:rsid w:val="00945859"/>
    <w:rsid w:val="0096742B"/>
    <w:rsid w:val="009C31EA"/>
    <w:rsid w:val="009D3F83"/>
    <w:rsid w:val="009F1F4A"/>
    <w:rsid w:val="00A160B1"/>
    <w:rsid w:val="00A33E13"/>
    <w:rsid w:val="00A50747"/>
    <w:rsid w:val="00A575A9"/>
    <w:rsid w:val="00A81570"/>
    <w:rsid w:val="00AA0505"/>
    <w:rsid w:val="00AA742B"/>
    <w:rsid w:val="00AD451B"/>
    <w:rsid w:val="00AD52FD"/>
    <w:rsid w:val="00AF0FCC"/>
    <w:rsid w:val="00AF5E19"/>
    <w:rsid w:val="00B073EB"/>
    <w:rsid w:val="00B34424"/>
    <w:rsid w:val="00B42D67"/>
    <w:rsid w:val="00B714BB"/>
    <w:rsid w:val="00B83862"/>
    <w:rsid w:val="00BB23B7"/>
    <w:rsid w:val="00C0021D"/>
    <w:rsid w:val="00C034ED"/>
    <w:rsid w:val="00C07522"/>
    <w:rsid w:val="00C43572"/>
    <w:rsid w:val="00C629C6"/>
    <w:rsid w:val="00C71CD8"/>
    <w:rsid w:val="00C76297"/>
    <w:rsid w:val="00C82ECD"/>
    <w:rsid w:val="00C84BC1"/>
    <w:rsid w:val="00CF1F42"/>
    <w:rsid w:val="00CF7213"/>
    <w:rsid w:val="00D12B06"/>
    <w:rsid w:val="00D2677A"/>
    <w:rsid w:val="00D3567A"/>
    <w:rsid w:val="00D540B3"/>
    <w:rsid w:val="00DB5D32"/>
    <w:rsid w:val="00E12CA5"/>
    <w:rsid w:val="00E41DBF"/>
    <w:rsid w:val="00E51F80"/>
    <w:rsid w:val="00E81F77"/>
    <w:rsid w:val="00E82DC1"/>
    <w:rsid w:val="00E84D1E"/>
    <w:rsid w:val="00E91B6A"/>
    <w:rsid w:val="00EA0FA4"/>
    <w:rsid w:val="00EA2FFB"/>
    <w:rsid w:val="00EB17D1"/>
    <w:rsid w:val="00EB5CE8"/>
    <w:rsid w:val="00EB6EA8"/>
    <w:rsid w:val="00F50F8E"/>
    <w:rsid w:val="00F57E75"/>
    <w:rsid w:val="00F74B24"/>
    <w:rsid w:val="00FD68E5"/>
    <w:rsid w:val="00FE0A43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2F61"/>
  <w15:chartTrackingRefBased/>
  <w15:docId w15:val="{82452196-44E6-42AF-8C6E-9F70BF7B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9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4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9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942"/>
  </w:style>
  <w:style w:type="paragraph" w:styleId="Footer">
    <w:name w:val="footer"/>
    <w:basedOn w:val="Normal"/>
    <w:link w:val="FooterChar"/>
    <w:uiPriority w:val="99"/>
    <w:unhideWhenUsed/>
    <w:rsid w:val="00290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132</cp:revision>
  <dcterms:created xsi:type="dcterms:W3CDTF">2021-08-17T21:30:00Z</dcterms:created>
  <dcterms:modified xsi:type="dcterms:W3CDTF">2022-05-08T20:22:00Z</dcterms:modified>
</cp:coreProperties>
</file>