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5929" w14:textId="62B521DA" w:rsidR="00BD714D" w:rsidRPr="009567DF" w:rsidRDefault="00BD714D" w:rsidP="00B70DFA">
      <w:pPr>
        <w:tabs>
          <w:tab w:val="left" w:pos="720"/>
        </w:tabs>
        <w:spacing w:after="0" w:line="240" w:lineRule="auto"/>
        <w:rPr>
          <w:rFonts w:ascii="Times New Roman" w:hAnsi="Times New Roman" w:cs="Times New Roman"/>
          <w:b/>
          <w:bCs/>
          <w:sz w:val="28"/>
          <w:szCs w:val="28"/>
        </w:rPr>
      </w:pPr>
      <w:r w:rsidRPr="009567DF">
        <w:rPr>
          <w:rFonts w:ascii="Times New Roman" w:hAnsi="Times New Roman" w:cs="Times New Roman"/>
          <w:b/>
          <w:bCs/>
          <w:sz w:val="28"/>
          <w:szCs w:val="28"/>
        </w:rPr>
        <w:t>8.</w:t>
      </w:r>
      <w:r w:rsidR="00601B24">
        <w:rPr>
          <w:rFonts w:ascii="Times New Roman" w:hAnsi="Times New Roman" w:cs="Times New Roman"/>
          <w:b/>
          <w:bCs/>
          <w:sz w:val="28"/>
          <w:szCs w:val="28"/>
        </w:rPr>
        <w:t>0</w:t>
      </w:r>
      <w:r w:rsidR="006E4D63">
        <w:rPr>
          <w:rFonts w:ascii="Times New Roman" w:hAnsi="Times New Roman" w:cs="Times New Roman"/>
          <w:b/>
          <w:bCs/>
          <w:sz w:val="28"/>
          <w:szCs w:val="28"/>
        </w:rPr>
        <w:t>3.</w:t>
      </w:r>
      <w:r w:rsidRPr="009567DF">
        <w:rPr>
          <w:rFonts w:ascii="Times New Roman" w:hAnsi="Times New Roman" w:cs="Times New Roman"/>
          <w:b/>
          <w:bCs/>
          <w:sz w:val="28"/>
          <w:szCs w:val="28"/>
        </w:rPr>
        <w:t xml:space="preserve"> Admissibility of Hearsay in Sex Offender Civil Management Proceedings</w:t>
      </w:r>
    </w:p>
    <w:p w14:paraId="6BB69498" w14:textId="77777777" w:rsidR="00B70DFA" w:rsidRPr="009567DF" w:rsidRDefault="00B70DFA" w:rsidP="00B70DFA">
      <w:pPr>
        <w:spacing w:after="0" w:line="240" w:lineRule="auto"/>
        <w:rPr>
          <w:rFonts w:ascii="Times New Roman" w:hAnsi="Times New Roman" w:cs="Times New Roman"/>
          <w:b/>
          <w:bCs/>
          <w:sz w:val="28"/>
          <w:szCs w:val="28"/>
        </w:rPr>
      </w:pPr>
    </w:p>
    <w:p w14:paraId="2B0230AB" w14:textId="61526AB1" w:rsidR="00BD714D" w:rsidRPr="009567DF" w:rsidRDefault="00BD714D" w:rsidP="00B70DFA">
      <w:pPr>
        <w:spacing w:after="0" w:line="240" w:lineRule="auto"/>
        <w:ind w:left="720" w:right="720"/>
        <w:jc w:val="both"/>
        <w:rPr>
          <w:rFonts w:ascii="Times New Roman" w:hAnsi="Times New Roman" w:cs="Times New Roman"/>
          <w:b/>
          <w:bCs/>
          <w:sz w:val="28"/>
          <w:szCs w:val="28"/>
        </w:rPr>
      </w:pPr>
      <w:r w:rsidRPr="009567DF">
        <w:rPr>
          <w:rFonts w:ascii="Times New Roman" w:hAnsi="Times New Roman" w:cs="Times New Roman"/>
          <w:b/>
          <w:bCs/>
          <w:sz w:val="28"/>
          <w:szCs w:val="28"/>
        </w:rPr>
        <w:t xml:space="preserve">In an evidentiary proceeding pursuant to </w:t>
      </w:r>
      <w:r w:rsidR="00A604FF" w:rsidRPr="009567DF">
        <w:rPr>
          <w:rFonts w:ascii="Times New Roman" w:hAnsi="Times New Roman" w:cs="Times New Roman"/>
          <w:b/>
          <w:bCs/>
          <w:sz w:val="28"/>
          <w:szCs w:val="28"/>
        </w:rPr>
        <w:t>a</w:t>
      </w:r>
      <w:r w:rsidRPr="009567DF">
        <w:rPr>
          <w:rFonts w:ascii="Times New Roman" w:hAnsi="Times New Roman" w:cs="Times New Roman"/>
          <w:b/>
          <w:bCs/>
          <w:sz w:val="28"/>
          <w:szCs w:val="28"/>
        </w:rPr>
        <w:t>rticle 10 of the Mental Hygiene Law (the Sex Offender Management and Treatment Act) hearsay evidence offered to demonstrate the basis of an expert witness’s opinion (“hearsay basis evidence”) is admissible if it satisfies two criteria.</w:t>
      </w:r>
    </w:p>
    <w:p w14:paraId="02A81F9F" w14:textId="77777777" w:rsidR="00B70DFA" w:rsidRPr="009567DF" w:rsidRDefault="00B70DFA" w:rsidP="009677B0">
      <w:pPr>
        <w:spacing w:after="0" w:line="240" w:lineRule="auto"/>
        <w:ind w:right="720"/>
        <w:jc w:val="both"/>
        <w:rPr>
          <w:rFonts w:ascii="Times New Roman" w:hAnsi="Times New Roman" w:cs="Times New Roman"/>
          <w:b/>
          <w:bCs/>
          <w:sz w:val="28"/>
          <w:szCs w:val="28"/>
        </w:rPr>
      </w:pPr>
    </w:p>
    <w:p w14:paraId="0E11E17F" w14:textId="5CDAC88A" w:rsidR="00BD714D" w:rsidRPr="009567DF" w:rsidRDefault="00B70DFA" w:rsidP="00B70DFA">
      <w:pPr>
        <w:spacing w:after="0" w:line="240" w:lineRule="auto"/>
        <w:ind w:left="720" w:right="720"/>
        <w:jc w:val="both"/>
        <w:rPr>
          <w:rFonts w:ascii="Times New Roman" w:hAnsi="Times New Roman" w:cs="Times New Roman"/>
          <w:b/>
          <w:bCs/>
          <w:sz w:val="28"/>
          <w:szCs w:val="28"/>
        </w:rPr>
      </w:pPr>
      <w:r w:rsidRPr="009567DF">
        <w:rPr>
          <w:rFonts w:ascii="Times New Roman" w:hAnsi="Times New Roman" w:cs="Times New Roman"/>
          <w:b/>
          <w:bCs/>
          <w:sz w:val="28"/>
          <w:szCs w:val="28"/>
        </w:rPr>
        <w:t xml:space="preserve">(1) </w:t>
      </w:r>
      <w:r w:rsidR="00BD714D" w:rsidRPr="009567DF">
        <w:rPr>
          <w:rFonts w:ascii="Times New Roman" w:hAnsi="Times New Roman" w:cs="Times New Roman"/>
          <w:b/>
          <w:bCs/>
          <w:sz w:val="28"/>
          <w:szCs w:val="28"/>
        </w:rPr>
        <w:t xml:space="preserve">The proponent must demonstrate that the hearsay is reliable. </w:t>
      </w:r>
    </w:p>
    <w:p w14:paraId="5F0482A7" w14:textId="77777777" w:rsidR="00BD714D" w:rsidRPr="009567DF" w:rsidRDefault="00BD714D" w:rsidP="009677B0">
      <w:pPr>
        <w:spacing w:after="0" w:line="240" w:lineRule="auto"/>
        <w:ind w:right="720"/>
        <w:rPr>
          <w:rFonts w:ascii="Times New Roman" w:hAnsi="Times New Roman" w:cs="Times New Roman"/>
          <w:b/>
          <w:bCs/>
          <w:sz w:val="28"/>
          <w:szCs w:val="28"/>
        </w:rPr>
      </w:pPr>
    </w:p>
    <w:p w14:paraId="4B151F61" w14:textId="3412884C" w:rsidR="00BD714D" w:rsidRPr="009567DF" w:rsidRDefault="009677B0" w:rsidP="009677B0">
      <w:pPr>
        <w:pStyle w:val="ListParagraph"/>
        <w:spacing w:after="0" w:line="240" w:lineRule="auto"/>
        <w:ind w:left="1440" w:right="720"/>
        <w:jc w:val="both"/>
        <w:rPr>
          <w:rFonts w:ascii="Times New Roman" w:hAnsi="Times New Roman" w:cs="Times New Roman"/>
          <w:b/>
          <w:bCs/>
          <w:sz w:val="28"/>
          <w:szCs w:val="28"/>
        </w:rPr>
      </w:pPr>
      <w:r w:rsidRPr="009567DF">
        <w:rPr>
          <w:rFonts w:ascii="Times New Roman" w:hAnsi="Times New Roman" w:cs="Times New Roman"/>
          <w:b/>
          <w:bCs/>
          <w:sz w:val="28"/>
          <w:szCs w:val="28"/>
        </w:rPr>
        <w:t xml:space="preserve">(a) </w:t>
      </w:r>
      <w:r w:rsidR="00BD714D" w:rsidRPr="009567DF">
        <w:rPr>
          <w:rFonts w:ascii="Times New Roman" w:hAnsi="Times New Roman" w:cs="Times New Roman"/>
          <w:b/>
          <w:bCs/>
          <w:sz w:val="28"/>
          <w:szCs w:val="28"/>
        </w:rPr>
        <w:t>A declarant’s hearsay statements may be determined to be sufficiently reliable and admissible through the testimony of an expert witness when they are supported by guilt adjudications or a respondent’s admissions</w:t>
      </w:r>
      <w:r w:rsidR="004A76C3" w:rsidRPr="009567DF">
        <w:rPr>
          <w:rFonts w:ascii="Times New Roman" w:hAnsi="Times New Roman" w:cs="Times New Roman"/>
          <w:b/>
          <w:bCs/>
          <w:sz w:val="28"/>
          <w:szCs w:val="28"/>
        </w:rPr>
        <w:t>.</w:t>
      </w:r>
    </w:p>
    <w:p w14:paraId="0461967F" w14:textId="77777777" w:rsidR="00BD714D" w:rsidRPr="009567DF" w:rsidRDefault="00BD714D" w:rsidP="009677B0">
      <w:pPr>
        <w:spacing w:after="0" w:line="240" w:lineRule="auto"/>
        <w:ind w:right="720"/>
        <w:rPr>
          <w:rFonts w:ascii="Times New Roman" w:hAnsi="Times New Roman" w:cs="Times New Roman"/>
          <w:b/>
          <w:bCs/>
          <w:sz w:val="28"/>
          <w:szCs w:val="28"/>
        </w:rPr>
      </w:pPr>
    </w:p>
    <w:p w14:paraId="2ED739D7" w14:textId="7885384F" w:rsidR="00BD714D" w:rsidRPr="009567DF" w:rsidRDefault="009677B0" w:rsidP="009677B0">
      <w:pPr>
        <w:pStyle w:val="ListParagraph"/>
        <w:spacing w:after="0" w:line="240" w:lineRule="auto"/>
        <w:ind w:left="1440" w:right="720"/>
        <w:jc w:val="both"/>
        <w:rPr>
          <w:rFonts w:ascii="Times New Roman" w:hAnsi="Times New Roman" w:cs="Times New Roman"/>
          <w:b/>
          <w:bCs/>
          <w:sz w:val="28"/>
          <w:szCs w:val="28"/>
        </w:rPr>
      </w:pPr>
      <w:r w:rsidRPr="009567DF">
        <w:rPr>
          <w:rFonts w:ascii="Times New Roman" w:hAnsi="Times New Roman" w:cs="Times New Roman"/>
          <w:b/>
          <w:bCs/>
          <w:sz w:val="28"/>
          <w:szCs w:val="28"/>
        </w:rPr>
        <w:t xml:space="preserve">(b) </w:t>
      </w:r>
      <w:r w:rsidR="00BD714D" w:rsidRPr="009567DF">
        <w:rPr>
          <w:rFonts w:ascii="Times New Roman" w:hAnsi="Times New Roman" w:cs="Times New Roman"/>
          <w:b/>
          <w:bCs/>
          <w:sz w:val="28"/>
          <w:szCs w:val="28"/>
        </w:rPr>
        <w:t xml:space="preserve">Criminal charges for which a respondent was acquitted or </w:t>
      </w:r>
      <w:r w:rsidR="003F3ED0" w:rsidRPr="009567DF">
        <w:rPr>
          <w:rFonts w:ascii="Times New Roman" w:hAnsi="Times New Roman" w:cs="Times New Roman"/>
          <w:b/>
          <w:bCs/>
          <w:sz w:val="28"/>
          <w:szCs w:val="28"/>
        </w:rPr>
        <w:t xml:space="preserve">criminal allegations for which the respondent was </w:t>
      </w:r>
      <w:r w:rsidR="00BD714D" w:rsidRPr="009567DF">
        <w:rPr>
          <w:rFonts w:ascii="Times New Roman" w:hAnsi="Times New Roman" w:cs="Times New Roman"/>
          <w:b/>
          <w:bCs/>
          <w:sz w:val="28"/>
          <w:szCs w:val="28"/>
        </w:rPr>
        <w:t>never charged cannot support a reliability determination unless such charges are supported by a respondent’s admissions or other extrinsic</w:t>
      </w:r>
      <w:r w:rsidR="004D3900" w:rsidRPr="009567DF">
        <w:rPr>
          <w:rFonts w:ascii="Times New Roman" w:hAnsi="Times New Roman" w:cs="Times New Roman"/>
          <w:b/>
          <w:bCs/>
          <w:sz w:val="28"/>
          <w:szCs w:val="28"/>
        </w:rPr>
        <w:t xml:space="preserve"> admissible</w:t>
      </w:r>
      <w:r w:rsidR="00BD714D" w:rsidRPr="009567DF">
        <w:rPr>
          <w:rFonts w:ascii="Times New Roman" w:hAnsi="Times New Roman" w:cs="Times New Roman"/>
          <w:b/>
          <w:bCs/>
          <w:sz w:val="28"/>
          <w:szCs w:val="28"/>
        </w:rPr>
        <w:t xml:space="preserve"> evidence.</w:t>
      </w:r>
    </w:p>
    <w:p w14:paraId="11D2AD52" w14:textId="77777777" w:rsidR="00BD714D" w:rsidRPr="009567DF" w:rsidRDefault="00BD714D" w:rsidP="009677B0">
      <w:pPr>
        <w:spacing w:after="0" w:line="240" w:lineRule="auto"/>
        <w:ind w:right="720"/>
        <w:rPr>
          <w:rFonts w:ascii="Times New Roman" w:hAnsi="Times New Roman" w:cs="Times New Roman"/>
          <w:b/>
          <w:bCs/>
          <w:sz w:val="28"/>
          <w:szCs w:val="28"/>
        </w:rPr>
      </w:pPr>
    </w:p>
    <w:p w14:paraId="5A4FEFD0" w14:textId="55D5358B" w:rsidR="00BD714D" w:rsidRPr="009567DF" w:rsidRDefault="009677B0" w:rsidP="009677B0">
      <w:pPr>
        <w:pStyle w:val="ListParagraph"/>
        <w:spacing w:after="0" w:line="240" w:lineRule="auto"/>
        <w:ind w:left="1440" w:right="720"/>
        <w:jc w:val="both"/>
        <w:rPr>
          <w:rFonts w:ascii="Times New Roman" w:hAnsi="Times New Roman" w:cs="Times New Roman"/>
          <w:b/>
          <w:bCs/>
          <w:sz w:val="28"/>
          <w:szCs w:val="28"/>
        </w:rPr>
      </w:pPr>
      <w:r w:rsidRPr="009567DF">
        <w:rPr>
          <w:rFonts w:ascii="Times New Roman" w:hAnsi="Times New Roman" w:cs="Times New Roman"/>
          <w:b/>
          <w:bCs/>
          <w:sz w:val="28"/>
          <w:szCs w:val="28"/>
        </w:rPr>
        <w:t xml:space="preserve">(c) </w:t>
      </w:r>
      <w:r w:rsidR="00BD714D" w:rsidRPr="009567DF">
        <w:rPr>
          <w:rFonts w:ascii="Times New Roman" w:hAnsi="Times New Roman" w:cs="Times New Roman"/>
          <w:b/>
          <w:bCs/>
          <w:sz w:val="28"/>
          <w:szCs w:val="28"/>
        </w:rPr>
        <w:t>The determination of whether criminal charges that resulted in neither acquittal nor conviction may be the basis for a reliability determination under this rule requires close scrutiny on a case-by-case basis.</w:t>
      </w:r>
    </w:p>
    <w:p w14:paraId="47AFF446" w14:textId="77777777" w:rsidR="00BD714D" w:rsidRPr="009567DF" w:rsidRDefault="00BD714D" w:rsidP="009677B0">
      <w:pPr>
        <w:spacing w:after="0" w:line="240" w:lineRule="auto"/>
        <w:ind w:right="720"/>
        <w:rPr>
          <w:rFonts w:ascii="Times New Roman" w:hAnsi="Times New Roman" w:cs="Times New Roman"/>
          <w:b/>
          <w:bCs/>
          <w:sz w:val="28"/>
          <w:szCs w:val="28"/>
        </w:rPr>
      </w:pPr>
    </w:p>
    <w:p w14:paraId="443B08FB" w14:textId="3EEF29FD" w:rsidR="00BD714D" w:rsidRPr="009567DF" w:rsidRDefault="009677B0" w:rsidP="009677B0">
      <w:pPr>
        <w:pStyle w:val="ListParagraph"/>
        <w:spacing w:after="0" w:line="240" w:lineRule="auto"/>
        <w:ind w:right="720"/>
        <w:jc w:val="both"/>
        <w:rPr>
          <w:rFonts w:ascii="Times New Roman" w:hAnsi="Times New Roman" w:cs="Times New Roman"/>
          <w:b/>
          <w:bCs/>
          <w:sz w:val="28"/>
          <w:szCs w:val="28"/>
        </w:rPr>
      </w:pPr>
      <w:r w:rsidRPr="009567DF">
        <w:rPr>
          <w:rFonts w:ascii="Times New Roman" w:hAnsi="Times New Roman" w:cs="Times New Roman"/>
          <w:b/>
          <w:bCs/>
          <w:sz w:val="28"/>
          <w:szCs w:val="28"/>
        </w:rPr>
        <w:t xml:space="preserve">(2) </w:t>
      </w:r>
      <w:r w:rsidR="00BD714D" w:rsidRPr="009567DF">
        <w:rPr>
          <w:rFonts w:ascii="Times New Roman" w:hAnsi="Times New Roman" w:cs="Times New Roman"/>
          <w:b/>
          <w:bCs/>
          <w:sz w:val="28"/>
          <w:szCs w:val="28"/>
        </w:rPr>
        <w:t>The court must determine that the probative value of the evidence in helping the jury evaluate the expert witness’s opinion substantially outweighs</w:t>
      </w:r>
      <w:r w:rsidR="00122AF5" w:rsidRPr="009567DF">
        <w:rPr>
          <w:rFonts w:ascii="Times New Roman" w:hAnsi="Times New Roman" w:cs="Times New Roman"/>
          <w:b/>
          <w:bCs/>
          <w:sz w:val="28"/>
          <w:szCs w:val="28"/>
        </w:rPr>
        <w:t xml:space="preserve"> </w:t>
      </w:r>
      <w:r w:rsidR="00DD5ECB" w:rsidRPr="009567DF">
        <w:rPr>
          <w:rFonts w:ascii="Times New Roman" w:hAnsi="Times New Roman" w:cs="Times New Roman"/>
          <w:b/>
          <w:bCs/>
          <w:sz w:val="28"/>
          <w:szCs w:val="28"/>
        </w:rPr>
        <w:t xml:space="preserve">the </w:t>
      </w:r>
      <w:r w:rsidR="00BD714D" w:rsidRPr="009567DF">
        <w:rPr>
          <w:rFonts w:ascii="Times New Roman" w:hAnsi="Times New Roman" w:cs="Times New Roman"/>
          <w:b/>
          <w:bCs/>
          <w:sz w:val="28"/>
          <w:szCs w:val="28"/>
        </w:rPr>
        <w:t>prejudicial effect</w:t>
      </w:r>
      <w:r w:rsidR="00864E5F" w:rsidRPr="009567DF">
        <w:rPr>
          <w:rFonts w:ascii="Times New Roman" w:hAnsi="Times New Roman" w:cs="Times New Roman"/>
          <w:b/>
          <w:bCs/>
          <w:sz w:val="28"/>
          <w:szCs w:val="28"/>
        </w:rPr>
        <w:t xml:space="preserve"> of that evidence</w:t>
      </w:r>
      <w:r w:rsidR="00BD714D" w:rsidRPr="009567DF">
        <w:rPr>
          <w:rFonts w:ascii="Times New Roman" w:hAnsi="Times New Roman" w:cs="Times New Roman"/>
          <w:b/>
          <w:bCs/>
          <w:sz w:val="28"/>
          <w:szCs w:val="28"/>
        </w:rPr>
        <w:t>.</w:t>
      </w:r>
    </w:p>
    <w:p w14:paraId="04F2A003" w14:textId="77777777" w:rsidR="00620EE7" w:rsidRPr="009567DF" w:rsidRDefault="00620EE7" w:rsidP="009677B0">
      <w:pPr>
        <w:pStyle w:val="ListParagraph"/>
        <w:spacing w:after="0" w:line="240" w:lineRule="auto"/>
        <w:ind w:right="720"/>
        <w:jc w:val="both"/>
        <w:rPr>
          <w:rFonts w:ascii="Times New Roman" w:hAnsi="Times New Roman" w:cs="Times New Roman"/>
          <w:b/>
          <w:bCs/>
          <w:sz w:val="28"/>
          <w:szCs w:val="28"/>
        </w:rPr>
      </w:pPr>
    </w:p>
    <w:p w14:paraId="45A894C9" w14:textId="77777777" w:rsidR="00620EE7" w:rsidRPr="009567DF" w:rsidRDefault="00620EE7" w:rsidP="009677B0">
      <w:pPr>
        <w:pStyle w:val="ListParagraph"/>
        <w:spacing w:after="0" w:line="240" w:lineRule="auto"/>
        <w:ind w:right="720"/>
        <w:jc w:val="both"/>
        <w:rPr>
          <w:rFonts w:ascii="Times New Roman" w:hAnsi="Times New Roman" w:cs="Times New Roman"/>
          <w:b/>
          <w:bCs/>
          <w:sz w:val="28"/>
          <w:szCs w:val="28"/>
        </w:rPr>
      </w:pPr>
    </w:p>
    <w:p w14:paraId="6F5C3D05" w14:textId="77777777" w:rsidR="00620EE7" w:rsidRPr="009567DF" w:rsidRDefault="00620EE7" w:rsidP="009677B0">
      <w:pPr>
        <w:pStyle w:val="ListParagraph"/>
        <w:spacing w:after="0" w:line="240" w:lineRule="auto"/>
        <w:ind w:right="720"/>
        <w:jc w:val="both"/>
        <w:rPr>
          <w:rFonts w:ascii="Times New Roman" w:hAnsi="Times New Roman" w:cs="Times New Roman"/>
          <w:b/>
          <w:bCs/>
          <w:sz w:val="28"/>
          <w:szCs w:val="28"/>
        </w:rPr>
      </w:pPr>
    </w:p>
    <w:p w14:paraId="6B3F0BFC" w14:textId="77777777" w:rsidR="008B1C4D" w:rsidRPr="009567DF" w:rsidRDefault="008B1C4D" w:rsidP="00B70DFA">
      <w:pPr>
        <w:spacing w:after="0" w:line="240" w:lineRule="auto"/>
        <w:jc w:val="both"/>
        <w:rPr>
          <w:rFonts w:ascii="Times New Roman" w:hAnsi="Times New Roman" w:cs="Times New Roman"/>
          <w:b/>
          <w:bCs/>
          <w:sz w:val="28"/>
          <w:szCs w:val="28"/>
        </w:rPr>
      </w:pPr>
    </w:p>
    <w:p w14:paraId="6CBBBD21" w14:textId="77777777" w:rsidR="008B1C4D" w:rsidRPr="009567DF" w:rsidRDefault="008B1C4D" w:rsidP="00B70DFA">
      <w:pPr>
        <w:spacing w:after="0" w:line="240" w:lineRule="auto"/>
        <w:jc w:val="center"/>
        <w:rPr>
          <w:rFonts w:ascii="Times New Roman" w:hAnsi="Times New Roman" w:cs="Times New Roman"/>
          <w:b/>
          <w:bCs/>
          <w:sz w:val="24"/>
          <w:szCs w:val="24"/>
        </w:rPr>
      </w:pPr>
      <w:r w:rsidRPr="009567DF">
        <w:rPr>
          <w:rFonts w:ascii="Times New Roman" w:hAnsi="Times New Roman" w:cs="Times New Roman"/>
          <w:b/>
          <w:bCs/>
          <w:sz w:val="24"/>
          <w:szCs w:val="24"/>
        </w:rPr>
        <w:lastRenderedPageBreak/>
        <w:t>Note</w:t>
      </w:r>
    </w:p>
    <w:p w14:paraId="79537B1E" w14:textId="77777777" w:rsidR="008B1C4D" w:rsidRPr="009567DF" w:rsidRDefault="008B1C4D" w:rsidP="00B70DFA">
      <w:pPr>
        <w:spacing w:after="0" w:line="240" w:lineRule="auto"/>
        <w:rPr>
          <w:rFonts w:ascii="Times New Roman" w:hAnsi="Times New Roman" w:cs="Times New Roman"/>
          <w:b/>
          <w:bCs/>
          <w:sz w:val="24"/>
          <w:szCs w:val="24"/>
        </w:rPr>
      </w:pPr>
    </w:p>
    <w:p w14:paraId="32E56A17" w14:textId="31075B0D" w:rsidR="008B1C4D" w:rsidRPr="009567DF" w:rsidRDefault="009677B0" w:rsidP="009677B0">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Mental Hygiene Law </w:t>
      </w:r>
      <w:r w:rsidR="002F75AC" w:rsidRPr="009567DF">
        <w:rPr>
          <w:rFonts w:ascii="Times New Roman" w:hAnsi="Times New Roman" w:cs="Times New Roman"/>
          <w:sz w:val="24"/>
          <w:szCs w:val="24"/>
        </w:rPr>
        <w:t>a</w:t>
      </w:r>
      <w:r w:rsidR="008B1C4D" w:rsidRPr="009567DF">
        <w:rPr>
          <w:rFonts w:ascii="Times New Roman" w:hAnsi="Times New Roman" w:cs="Times New Roman"/>
          <w:sz w:val="24"/>
          <w:szCs w:val="24"/>
        </w:rPr>
        <w:t xml:space="preserve">rticle 10, inter alia, provides for a hearing to determine whether there is probable cause to believe a person is a sex offender requiring civil management </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Mental Hygiene Law § 10.06</w:t>
      </w:r>
      <w:r w:rsidR="002F75AC"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k]</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and upon finding probable cause, the court “shall conduct a jury trial [or if waived, a </w:t>
      </w:r>
      <w:r w:rsidR="00C214F7" w:rsidRPr="009567DF">
        <w:rPr>
          <w:rFonts w:ascii="Times New Roman" w:hAnsi="Times New Roman" w:cs="Times New Roman"/>
          <w:sz w:val="24"/>
          <w:szCs w:val="24"/>
        </w:rPr>
        <w:t>bench</w:t>
      </w:r>
      <w:r w:rsidR="008B1C4D" w:rsidRPr="009567DF">
        <w:rPr>
          <w:rFonts w:ascii="Times New Roman" w:hAnsi="Times New Roman" w:cs="Times New Roman"/>
          <w:sz w:val="24"/>
          <w:szCs w:val="24"/>
        </w:rPr>
        <w:t xml:space="preserve"> trial] to determine whether the [person] is a detained sex offender who suffers from a mental abnormality.” </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Mental Hygiene Law §</w:t>
      </w:r>
      <w:r w:rsidR="002F75AC"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10.07</w:t>
      </w:r>
      <w:r w:rsidR="002F75AC"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a</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Upon determining that the person has a “mental abnormality,” the court “shall consider whether the [person] is a dangerous sex offender requiring confinement or a sex offender requiring strict and intensive supervision.” </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Mental Hygiene Law § 10.07</w:t>
      </w:r>
      <w:r w:rsidR="002F75AC"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f</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r w:rsidR="002F75AC" w:rsidRPr="009567DF">
        <w:rPr>
          <w:rFonts w:ascii="Times New Roman" w:hAnsi="Times New Roman" w:cs="Times New Roman"/>
          <w:sz w:val="24"/>
          <w:szCs w:val="24"/>
        </w:rPr>
        <w:t>)</w:t>
      </w:r>
    </w:p>
    <w:p w14:paraId="698EEA17" w14:textId="77777777" w:rsidR="009677B0" w:rsidRPr="009567DF" w:rsidRDefault="009677B0" w:rsidP="009677B0">
      <w:pPr>
        <w:spacing w:after="0" w:line="240" w:lineRule="auto"/>
        <w:jc w:val="both"/>
        <w:rPr>
          <w:rFonts w:ascii="Times New Roman" w:hAnsi="Times New Roman" w:cs="Times New Roman"/>
          <w:sz w:val="24"/>
          <w:szCs w:val="24"/>
        </w:rPr>
      </w:pPr>
    </w:p>
    <w:p w14:paraId="2623BE89" w14:textId="724DA2F2" w:rsidR="008B1C4D" w:rsidRPr="009567DF" w:rsidRDefault="009677B0" w:rsidP="009677B0">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This </w:t>
      </w:r>
      <w:r w:rsidR="000A23D2" w:rsidRPr="009567DF">
        <w:rPr>
          <w:rFonts w:ascii="Times New Roman" w:hAnsi="Times New Roman" w:cs="Times New Roman"/>
          <w:sz w:val="24"/>
          <w:szCs w:val="24"/>
        </w:rPr>
        <w:t xml:space="preserve">rule’s </w:t>
      </w:r>
      <w:r w:rsidR="008B1C4D" w:rsidRPr="009567DF">
        <w:rPr>
          <w:rFonts w:ascii="Times New Roman" w:hAnsi="Times New Roman" w:cs="Times New Roman"/>
          <w:sz w:val="24"/>
          <w:szCs w:val="24"/>
        </w:rPr>
        <w:t xml:space="preserve">two requirements for the admission of hearsay at an </w:t>
      </w:r>
      <w:r w:rsidR="002F75AC" w:rsidRPr="009567DF">
        <w:rPr>
          <w:rFonts w:ascii="Times New Roman" w:hAnsi="Times New Roman" w:cs="Times New Roman"/>
          <w:sz w:val="24"/>
          <w:szCs w:val="24"/>
        </w:rPr>
        <w:t>a</w:t>
      </w:r>
      <w:r w:rsidR="008B1C4D" w:rsidRPr="009567DF">
        <w:rPr>
          <w:rFonts w:ascii="Times New Roman" w:hAnsi="Times New Roman" w:cs="Times New Roman"/>
          <w:sz w:val="24"/>
          <w:szCs w:val="24"/>
        </w:rPr>
        <w:t xml:space="preserve">rticle 10 </w:t>
      </w:r>
      <w:r w:rsidR="006200BC" w:rsidRPr="009567DF">
        <w:rPr>
          <w:rFonts w:ascii="Times New Roman" w:hAnsi="Times New Roman" w:cs="Times New Roman"/>
          <w:sz w:val="24"/>
          <w:szCs w:val="24"/>
        </w:rPr>
        <w:t>trial</w:t>
      </w:r>
      <w:r w:rsidR="008B1C4D" w:rsidRPr="009567DF">
        <w:rPr>
          <w:rFonts w:ascii="Times New Roman" w:hAnsi="Times New Roman" w:cs="Times New Roman"/>
          <w:sz w:val="24"/>
          <w:szCs w:val="24"/>
        </w:rPr>
        <w:t xml:space="preserve"> is contained in the holding of the Court of Appeals in </w:t>
      </w:r>
      <w:r w:rsidR="008B1C4D" w:rsidRPr="009567DF">
        <w:rPr>
          <w:rFonts w:ascii="Times New Roman" w:hAnsi="Times New Roman" w:cs="Times New Roman"/>
          <w:i/>
          <w:iCs/>
          <w:sz w:val="24"/>
          <w:szCs w:val="24"/>
        </w:rPr>
        <w:t>Matter of State of New York v Floyd Y.</w:t>
      </w:r>
      <w:r w:rsidR="008B1C4D" w:rsidRPr="009567DF">
        <w:rPr>
          <w:rFonts w:ascii="Times New Roman" w:hAnsi="Times New Roman" w:cs="Times New Roman"/>
          <w:sz w:val="24"/>
          <w:szCs w:val="24"/>
        </w:rPr>
        <w:t xml:space="preserve"> </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22 NY3d 95, 109 [2013]</w:t>
      </w:r>
      <w:r w:rsidR="002F75AC"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p>
    <w:p w14:paraId="6994E8D8" w14:textId="77777777" w:rsidR="009677B0" w:rsidRPr="009567DF" w:rsidRDefault="009677B0" w:rsidP="009677B0">
      <w:pPr>
        <w:tabs>
          <w:tab w:val="left" w:pos="720"/>
        </w:tabs>
        <w:spacing w:after="0" w:line="240" w:lineRule="auto"/>
        <w:jc w:val="both"/>
        <w:rPr>
          <w:rFonts w:ascii="Times New Roman" w:hAnsi="Times New Roman" w:cs="Times New Roman"/>
          <w:sz w:val="24"/>
          <w:szCs w:val="24"/>
        </w:rPr>
      </w:pPr>
    </w:p>
    <w:p w14:paraId="0A969A7D" w14:textId="4D94B7F7" w:rsidR="00FF2A28" w:rsidRPr="009567DF" w:rsidRDefault="008B1C4D" w:rsidP="00B70DFA">
      <w:pPr>
        <w:spacing w:after="0" w:line="240" w:lineRule="auto"/>
        <w:ind w:left="720" w:right="720"/>
        <w:jc w:val="both"/>
        <w:rPr>
          <w:rFonts w:ascii="Times New Roman" w:hAnsi="Times New Roman" w:cs="Times New Roman"/>
          <w:sz w:val="24"/>
          <w:szCs w:val="24"/>
        </w:rPr>
      </w:pPr>
      <w:r w:rsidRPr="009567DF">
        <w:rPr>
          <w:rFonts w:ascii="Times New Roman" w:hAnsi="Times New Roman" w:cs="Times New Roman"/>
          <w:sz w:val="24"/>
          <w:szCs w:val="24"/>
        </w:rPr>
        <w:t xml:space="preserve">“In article 10 trials, hearsay basis evidence is admissible if it satisfies two criteria. First, the proponent must demonstrate through evidence that the hearsay is reliable. Second, the court must determine that the </w:t>
      </w:r>
      <w:r w:rsidR="00FF2A28" w:rsidRPr="009567DF">
        <w:rPr>
          <w:rFonts w:ascii="Times New Roman" w:hAnsi="Times New Roman" w:cs="Times New Roman"/>
          <w:sz w:val="24"/>
          <w:szCs w:val="24"/>
        </w:rPr>
        <w:t>‘</w:t>
      </w:r>
      <w:r w:rsidRPr="009567DF">
        <w:rPr>
          <w:rFonts w:ascii="Times New Roman" w:hAnsi="Times New Roman" w:cs="Times New Roman"/>
          <w:sz w:val="24"/>
          <w:szCs w:val="24"/>
        </w:rPr>
        <w:t>probative value in helping the jury evaluate the [expert</w:t>
      </w:r>
      <w:r w:rsidR="00D03E24" w:rsidRPr="009567DF">
        <w:rPr>
          <w:rFonts w:ascii="Times New Roman" w:hAnsi="Times New Roman" w:cs="Times New Roman"/>
          <w:sz w:val="24"/>
          <w:szCs w:val="24"/>
        </w:rPr>
        <w:t>’</w:t>
      </w:r>
      <w:r w:rsidRPr="009567DF">
        <w:rPr>
          <w:rFonts w:ascii="Times New Roman" w:hAnsi="Times New Roman" w:cs="Times New Roman"/>
          <w:sz w:val="24"/>
          <w:szCs w:val="24"/>
        </w:rPr>
        <w:t>s] opinion substantially outweighs [its] prejudicial effect</w:t>
      </w:r>
      <w:r w:rsidR="001271BB" w:rsidRPr="009567DF">
        <w:rPr>
          <w:rFonts w:ascii="Times New Roman" w:hAnsi="Times New Roman" w:cs="Times New Roman"/>
          <w:sz w:val="24"/>
          <w:szCs w:val="24"/>
        </w:rPr>
        <w:t>.</w:t>
      </w:r>
      <w:r w:rsidR="00FF2A28" w:rsidRPr="009567DF">
        <w:rPr>
          <w:rFonts w:ascii="Times New Roman" w:hAnsi="Times New Roman" w:cs="Times New Roman"/>
          <w:sz w:val="24"/>
          <w:szCs w:val="24"/>
        </w:rPr>
        <w:t>’</w:t>
      </w:r>
      <w:r w:rsidR="001271BB" w:rsidRPr="009567DF">
        <w:rPr>
          <w:rFonts w:ascii="Times New Roman" w:hAnsi="Times New Roman" w:cs="Times New Roman"/>
          <w:sz w:val="24"/>
          <w:szCs w:val="24"/>
        </w:rPr>
        <w:t xml:space="preserve"> </w:t>
      </w:r>
      <w:r w:rsidRPr="009567DF">
        <w:rPr>
          <w:rFonts w:ascii="Times New Roman" w:hAnsi="Times New Roman" w:cs="Times New Roman"/>
          <w:sz w:val="24"/>
          <w:szCs w:val="24"/>
        </w:rPr>
        <w:t>”</w:t>
      </w:r>
      <w:r w:rsidR="00FF2A28" w:rsidRPr="009567DF">
        <w:rPr>
          <w:rFonts w:ascii="Times New Roman" w:hAnsi="Times New Roman" w:cs="Times New Roman"/>
          <w:sz w:val="24"/>
          <w:szCs w:val="24"/>
        </w:rPr>
        <w:t xml:space="preserve"> </w:t>
      </w:r>
      <w:r w:rsidRPr="009567DF">
        <w:rPr>
          <w:rFonts w:ascii="Times New Roman" w:hAnsi="Times New Roman" w:cs="Times New Roman"/>
          <w:sz w:val="24"/>
          <w:szCs w:val="24"/>
        </w:rPr>
        <w:t>(</w:t>
      </w:r>
      <w:r w:rsidRPr="009567DF">
        <w:rPr>
          <w:rFonts w:ascii="Times New Roman" w:hAnsi="Times New Roman" w:cs="Times New Roman"/>
          <w:i/>
          <w:iCs/>
          <w:sz w:val="24"/>
          <w:szCs w:val="24"/>
        </w:rPr>
        <w:t>Accord Matter of</w:t>
      </w:r>
      <w:r w:rsidRPr="009567DF">
        <w:rPr>
          <w:rFonts w:ascii="Times New Roman" w:hAnsi="Times New Roman" w:cs="Times New Roman"/>
          <w:sz w:val="24"/>
          <w:szCs w:val="24"/>
        </w:rPr>
        <w:t xml:space="preserve"> </w:t>
      </w:r>
      <w:r w:rsidRPr="009567DF">
        <w:rPr>
          <w:rFonts w:ascii="Times New Roman" w:hAnsi="Times New Roman" w:cs="Times New Roman"/>
          <w:i/>
          <w:iCs/>
          <w:sz w:val="24"/>
          <w:szCs w:val="24"/>
        </w:rPr>
        <w:t>State of New York v John S.</w:t>
      </w:r>
      <w:r w:rsidRPr="009567DF">
        <w:rPr>
          <w:rFonts w:ascii="Times New Roman" w:hAnsi="Times New Roman" w:cs="Times New Roman"/>
          <w:sz w:val="24"/>
          <w:szCs w:val="24"/>
        </w:rPr>
        <w:t xml:space="preserve">, 23 NY3d 326, 343 </w:t>
      </w:r>
      <w:r w:rsidR="00FF2A28" w:rsidRPr="009567DF">
        <w:rPr>
          <w:rFonts w:ascii="Times New Roman" w:hAnsi="Times New Roman" w:cs="Times New Roman"/>
          <w:sz w:val="24"/>
          <w:szCs w:val="24"/>
        </w:rPr>
        <w:t>[</w:t>
      </w:r>
      <w:r w:rsidRPr="009567DF">
        <w:rPr>
          <w:rFonts w:ascii="Times New Roman" w:hAnsi="Times New Roman" w:cs="Times New Roman"/>
          <w:sz w:val="24"/>
          <w:szCs w:val="24"/>
        </w:rPr>
        <w:t>2014</w:t>
      </w:r>
      <w:r w:rsidR="00FF2A28" w:rsidRPr="009567DF">
        <w:rPr>
          <w:rFonts w:ascii="Times New Roman" w:hAnsi="Times New Roman" w:cs="Times New Roman"/>
          <w:sz w:val="24"/>
          <w:szCs w:val="24"/>
        </w:rPr>
        <w:t>]</w:t>
      </w:r>
      <w:r w:rsidRPr="009567DF">
        <w:rPr>
          <w:rFonts w:ascii="Times New Roman" w:hAnsi="Times New Roman" w:cs="Times New Roman"/>
          <w:sz w:val="24"/>
          <w:szCs w:val="24"/>
        </w:rPr>
        <w:t xml:space="preserve">; </w:t>
      </w:r>
      <w:r w:rsidRPr="009567DF">
        <w:rPr>
          <w:rFonts w:ascii="Times New Roman" w:hAnsi="Times New Roman" w:cs="Times New Roman"/>
          <w:i/>
          <w:iCs/>
          <w:sz w:val="24"/>
          <w:szCs w:val="24"/>
        </w:rPr>
        <w:t>Matter of</w:t>
      </w:r>
      <w:r w:rsidRPr="009567DF">
        <w:rPr>
          <w:rFonts w:ascii="Times New Roman" w:hAnsi="Times New Roman" w:cs="Times New Roman"/>
          <w:sz w:val="24"/>
          <w:szCs w:val="24"/>
        </w:rPr>
        <w:t xml:space="preserve"> </w:t>
      </w:r>
      <w:r w:rsidRPr="009567DF">
        <w:rPr>
          <w:rFonts w:ascii="Times New Roman" w:hAnsi="Times New Roman" w:cs="Times New Roman"/>
          <w:i/>
          <w:iCs/>
          <w:sz w:val="24"/>
          <w:szCs w:val="24"/>
        </w:rPr>
        <w:t>State of New York v Charada T.</w:t>
      </w:r>
      <w:r w:rsidRPr="009567DF">
        <w:rPr>
          <w:rFonts w:ascii="Times New Roman" w:hAnsi="Times New Roman" w:cs="Times New Roman"/>
          <w:sz w:val="24"/>
          <w:szCs w:val="24"/>
        </w:rPr>
        <w:t>, 23 NY3d 355, 361 [2014]</w:t>
      </w:r>
      <w:r w:rsidR="00C2129D" w:rsidRPr="009567DF">
        <w:rPr>
          <w:rFonts w:ascii="Times New Roman" w:hAnsi="Times New Roman" w:cs="Times New Roman"/>
          <w:sz w:val="24"/>
          <w:szCs w:val="24"/>
        </w:rPr>
        <w:t>.</w:t>
      </w:r>
      <w:r w:rsidR="00FF2A28" w:rsidRPr="009567DF">
        <w:rPr>
          <w:rFonts w:ascii="Times New Roman" w:hAnsi="Times New Roman" w:cs="Times New Roman"/>
          <w:sz w:val="24"/>
          <w:szCs w:val="24"/>
        </w:rPr>
        <w:t>)</w:t>
      </w:r>
    </w:p>
    <w:p w14:paraId="23F02459" w14:textId="77777777" w:rsidR="009677B0" w:rsidRPr="009567DF" w:rsidRDefault="009677B0" w:rsidP="0020533C">
      <w:pPr>
        <w:spacing w:after="0" w:line="240" w:lineRule="auto"/>
        <w:jc w:val="both"/>
        <w:rPr>
          <w:rFonts w:ascii="Times New Roman" w:hAnsi="Times New Roman" w:cs="Times New Roman"/>
          <w:sz w:val="24"/>
          <w:szCs w:val="24"/>
        </w:rPr>
      </w:pPr>
    </w:p>
    <w:p w14:paraId="7A9D2708" w14:textId="4C2E961B" w:rsidR="008B1C4D" w:rsidRPr="009567DF" w:rsidRDefault="00CC268D" w:rsidP="0020533C">
      <w:pPr>
        <w:spacing w:after="0" w:line="240" w:lineRule="auto"/>
        <w:jc w:val="both"/>
        <w:rPr>
          <w:rFonts w:ascii="Times New Roman" w:hAnsi="Times New Roman" w:cs="Times New Roman"/>
          <w:i/>
          <w:iCs/>
          <w:sz w:val="24"/>
          <w:szCs w:val="24"/>
        </w:rPr>
      </w:pPr>
      <w:r w:rsidRPr="009567DF">
        <w:rPr>
          <w:rFonts w:ascii="Times New Roman" w:hAnsi="Times New Roman" w:cs="Times New Roman"/>
          <w:sz w:val="24"/>
          <w:szCs w:val="24"/>
        </w:rPr>
        <w:t xml:space="preserve">The Court </w:t>
      </w:r>
      <w:r w:rsidR="00835748" w:rsidRPr="009567DF">
        <w:rPr>
          <w:rFonts w:ascii="Times New Roman" w:hAnsi="Times New Roman" w:cs="Times New Roman"/>
          <w:sz w:val="24"/>
          <w:szCs w:val="24"/>
        </w:rPr>
        <w:t>reached t</w:t>
      </w:r>
      <w:r w:rsidR="008B1C4D" w:rsidRPr="009567DF">
        <w:rPr>
          <w:rFonts w:ascii="Times New Roman" w:hAnsi="Times New Roman" w:cs="Times New Roman"/>
          <w:sz w:val="24"/>
          <w:szCs w:val="24"/>
        </w:rPr>
        <w:t>hat holding by applying “the Due Process Clauses of the Fifth and Fourteenth Amendments,</w:t>
      </w:r>
      <w:r w:rsidR="001271BB"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as set forth in </w:t>
      </w:r>
      <w:r w:rsidR="008B1C4D" w:rsidRPr="009567DF">
        <w:rPr>
          <w:rFonts w:ascii="Times New Roman" w:hAnsi="Times New Roman" w:cs="Times New Roman"/>
          <w:i/>
          <w:iCs/>
          <w:sz w:val="24"/>
          <w:szCs w:val="24"/>
        </w:rPr>
        <w:t xml:space="preserve">Mathews v Eldridge </w:t>
      </w:r>
      <w:r w:rsidR="008A7607" w:rsidRPr="009567DF">
        <w:rPr>
          <w:rFonts w:ascii="Times New Roman" w:hAnsi="Times New Roman" w:cs="Times New Roman"/>
          <w:sz w:val="24"/>
          <w:szCs w:val="24"/>
        </w:rPr>
        <w:t>(</w:t>
      </w:r>
      <w:r w:rsidR="008B1C4D" w:rsidRPr="009567DF">
        <w:rPr>
          <w:rFonts w:ascii="Times New Roman" w:hAnsi="Times New Roman" w:cs="Times New Roman"/>
          <w:sz w:val="24"/>
          <w:szCs w:val="24"/>
        </w:rPr>
        <w:t>424 US 319, 335 [1976]</w:t>
      </w:r>
      <w:r w:rsidR="008A7607" w:rsidRPr="009567DF">
        <w:rPr>
          <w:rFonts w:ascii="Times New Roman" w:hAnsi="Times New Roman" w:cs="Times New Roman"/>
          <w:sz w:val="24"/>
          <w:szCs w:val="24"/>
        </w:rPr>
        <w:t>)</w:t>
      </w:r>
      <w:r w:rsidR="00572839" w:rsidRPr="009567DF">
        <w:rPr>
          <w:rFonts w:ascii="Times New Roman" w:hAnsi="Times New Roman" w:cs="Times New Roman"/>
          <w:sz w:val="24"/>
          <w:szCs w:val="24"/>
        </w:rPr>
        <w:t>.</w:t>
      </w:r>
      <w:r w:rsidR="00FF2A28"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Floyd</w:t>
      </w:r>
      <w:r w:rsidR="008B1C4D" w:rsidRPr="009567DF">
        <w:rPr>
          <w:rFonts w:ascii="Times New Roman" w:hAnsi="Times New Roman" w:cs="Times New Roman"/>
          <w:sz w:val="24"/>
          <w:szCs w:val="24"/>
        </w:rPr>
        <w:t>, 22 NY3d at 103.</w:t>
      </w:r>
      <w:r w:rsidR="00FF2A28" w:rsidRPr="009567DF">
        <w:rPr>
          <w:rFonts w:ascii="Times New Roman" w:hAnsi="Times New Roman" w:cs="Times New Roman"/>
          <w:sz w:val="24"/>
          <w:szCs w:val="24"/>
        </w:rPr>
        <w:t>)</w:t>
      </w:r>
    </w:p>
    <w:p w14:paraId="52464F0B" w14:textId="77777777" w:rsidR="0020533C" w:rsidRPr="009567DF" w:rsidRDefault="0020533C" w:rsidP="0020533C">
      <w:pPr>
        <w:spacing w:after="0" w:line="240" w:lineRule="auto"/>
        <w:jc w:val="both"/>
        <w:rPr>
          <w:rFonts w:ascii="Times New Roman" w:hAnsi="Times New Roman" w:cs="Times New Roman"/>
          <w:sz w:val="24"/>
          <w:szCs w:val="24"/>
        </w:rPr>
      </w:pPr>
    </w:p>
    <w:p w14:paraId="4AAC8665" w14:textId="07A43AFF" w:rsidR="008B1C4D" w:rsidRPr="009567DF" w:rsidRDefault="0020533C" w:rsidP="0020533C">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In most </w:t>
      </w:r>
      <w:r w:rsidR="00031A11" w:rsidRPr="009567DF">
        <w:rPr>
          <w:rFonts w:ascii="Times New Roman" w:hAnsi="Times New Roman" w:cs="Times New Roman"/>
          <w:sz w:val="24"/>
          <w:szCs w:val="24"/>
        </w:rPr>
        <w:t>a</w:t>
      </w:r>
      <w:r w:rsidR="008B1C4D" w:rsidRPr="009567DF">
        <w:rPr>
          <w:rFonts w:ascii="Times New Roman" w:hAnsi="Times New Roman" w:cs="Times New Roman"/>
          <w:sz w:val="24"/>
          <w:szCs w:val="24"/>
        </w:rPr>
        <w:t>rticle 10 trials, “basis hearsay questions” primarily concern the extent to which detailed evidence of a respondent’s prior crimes or bad acts can be relayed through expert witnesses, as was true in each</w:t>
      </w:r>
      <w:r w:rsidR="008B1C4D" w:rsidRPr="009567DF">
        <w:rPr>
          <w:rFonts w:ascii="Times New Roman" w:hAnsi="Times New Roman" w:cs="Times New Roman"/>
          <w:b/>
          <w:bCs/>
          <w:sz w:val="24"/>
          <w:szCs w:val="24"/>
        </w:rPr>
        <w:t xml:space="preserve"> </w:t>
      </w:r>
      <w:r w:rsidR="008B1C4D" w:rsidRPr="009567DF">
        <w:rPr>
          <w:rFonts w:ascii="Times New Roman" w:hAnsi="Times New Roman" w:cs="Times New Roman"/>
          <w:sz w:val="24"/>
          <w:szCs w:val="24"/>
        </w:rPr>
        <w:t xml:space="preserve">of the foregoing Court of Appeals cases. That is so because most </w:t>
      </w:r>
      <w:r w:rsidR="006A7CB6" w:rsidRPr="009567DF">
        <w:rPr>
          <w:rFonts w:ascii="Times New Roman" w:hAnsi="Times New Roman" w:cs="Times New Roman"/>
          <w:sz w:val="24"/>
          <w:szCs w:val="24"/>
        </w:rPr>
        <w:t>a</w:t>
      </w:r>
      <w:r w:rsidR="008B1C4D" w:rsidRPr="009567DF">
        <w:rPr>
          <w:rFonts w:ascii="Times New Roman" w:hAnsi="Times New Roman" w:cs="Times New Roman"/>
          <w:sz w:val="24"/>
          <w:szCs w:val="24"/>
        </w:rPr>
        <w:t xml:space="preserve">rticle 10 trials do not feature the testimony of crime victims but rather elicit such evidence through expert psychologists who have reviewed records and sometimes conducted interviews. The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xml:space="preserve"> court ruled on multiple recurring admissibility issues regarding such expert testimony and these rulings now serve as a guide to adjudicating those issues.</w:t>
      </w:r>
    </w:p>
    <w:p w14:paraId="119C645D" w14:textId="77777777" w:rsidR="0020533C" w:rsidRPr="009567DF" w:rsidRDefault="0020533C" w:rsidP="0020533C">
      <w:pPr>
        <w:tabs>
          <w:tab w:val="left" w:pos="720"/>
          <w:tab w:val="left" w:pos="7200"/>
        </w:tabs>
        <w:spacing w:after="0" w:line="240" w:lineRule="auto"/>
        <w:jc w:val="both"/>
        <w:rPr>
          <w:rFonts w:ascii="Times New Roman" w:hAnsi="Times New Roman" w:cs="Times New Roman"/>
          <w:sz w:val="24"/>
          <w:szCs w:val="24"/>
        </w:rPr>
      </w:pPr>
    </w:p>
    <w:p w14:paraId="119EA421" w14:textId="4E860C26" w:rsidR="008B1C4D" w:rsidRPr="009567DF" w:rsidRDefault="0020533C" w:rsidP="00F54BB4">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Under the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rules, first, an expert witness may relay the facts of prior crimes supported by guilt adjudications.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22 NY3d at 109</w:t>
      </w:r>
      <w:r w:rsidR="00085500"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In </w:t>
      </w:r>
      <w:r w:rsidR="008B1C4D" w:rsidRPr="009567DF">
        <w:rPr>
          <w:rFonts w:ascii="Times New Roman" w:hAnsi="Times New Roman" w:cs="Times New Roman"/>
          <w:i/>
          <w:iCs/>
          <w:sz w:val="24"/>
          <w:szCs w:val="24"/>
        </w:rPr>
        <w:t>Matter of</w:t>
      </w:r>
      <w:r w:rsidR="008B1C4D"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State of New York v Kevin W.</w:t>
      </w:r>
      <w:r w:rsidR="008B1C4D" w:rsidRPr="009567DF">
        <w:rPr>
          <w:rFonts w:ascii="Times New Roman" w:hAnsi="Times New Roman" w:cs="Times New Roman"/>
          <w:sz w:val="24"/>
          <w:szCs w:val="24"/>
        </w:rPr>
        <w:t xml:space="preserve"> </w:t>
      </w:r>
      <w:r w:rsidR="00085500" w:rsidRPr="009567DF">
        <w:rPr>
          <w:rFonts w:ascii="Times New Roman" w:hAnsi="Times New Roman" w:cs="Times New Roman"/>
          <w:sz w:val="24"/>
          <w:szCs w:val="24"/>
        </w:rPr>
        <w:t>(</w:t>
      </w:r>
      <w:r w:rsidR="008B1C4D" w:rsidRPr="009567DF">
        <w:rPr>
          <w:rFonts w:ascii="Times New Roman" w:hAnsi="Times New Roman" w:cs="Times New Roman"/>
          <w:sz w:val="24"/>
          <w:szCs w:val="24"/>
        </w:rPr>
        <w:t>234 AD3d 977 [2</w:t>
      </w:r>
      <w:r w:rsidR="00085500" w:rsidRPr="009567DF">
        <w:rPr>
          <w:rFonts w:ascii="Times New Roman" w:hAnsi="Times New Roman" w:cs="Times New Roman"/>
          <w:sz w:val="24"/>
          <w:szCs w:val="24"/>
        </w:rPr>
        <w:t>d</w:t>
      </w:r>
      <w:r w:rsidR="008B1C4D" w:rsidRPr="009567DF">
        <w:rPr>
          <w:rFonts w:ascii="Times New Roman" w:hAnsi="Times New Roman" w:cs="Times New Roman"/>
          <w:sz w:val="24"/>
          <w:szCs w:val="24"/>
        </w:rPr>
        <w:t xml:space="preserve"> Dept 2025]</w:t>
      </w:r>
      <w:r w:rsidR="00085500"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the </w:t>
      </w:r>
      <w:r w:rsidR="00085500" w:rsidRPr="009567DF">
        <w:rPr>
          <w:rFonts w:ascii="Times New Roman" w:hAnsi="Times New Roman" w:cs="Times New Roman"/>
          <w:sz w:val="24"/>
          <w:szCs w:val="24"/>
        </w:rPr>
        <w:t>C</w:t>
      </w:r>
      <w:r w:rsidR="008B1C4D" w:rsidRPr="009567DF">
        <w:rPr>
          <w:rFonts w:ascii="Times New Roman" w:hAnsi="Times New Roman" w:cs="Times New Roman"/>
          <w:sz w:val="24"/>
          <w:szCs w:val="24"/>
        </w:rPr>
        <w:t>ourt held that statements from a crime victim to an expert witness were admissible through the expert witness’s testimony under this rule because the respondent had been convicted of a sexual offense against the victim. (</w:t>
      </w:r>
      <w:r w:rsidR="008B1C4D" w:rsidRPr="009567DF">
        <w:rPr>
          <w:rFonts w:ascii="Times New Roman" w:hAnsi="Times New Roman" w:cs="Times New Roman"/>
          <w:i/>
          <w:iCs/>
          <w:sz w:val="24"/>
          <w:szCs w:val="24"/>
        </w:rPr>
        <w:t>See Matter of State of New York v Vanderpool</w:t>
      </w:r>
      <w:r w:rsidR="008B1C4D" w:rsidRPr="009567DF">
        <w:rPr>
          <w:rFonts w:ascii="Times New Roman" w:hAnsi="Times New Roman" w:cs="Times New Roman"/>
          <w:sz w:val="24"/>
          <w:szCs w:val="24"/>
        </w:rPr>
        <w:t xml:space="preserve">, 137 AD3d 1688 </w:t>
      </w:r>
      <w:r w:rsidR="00085500" w:rsidRPr="009567DF">
        <w:rPr>
          <w:rFonts w:ascii="Times New Roman" w:hAnsi="Times New Roman" w:cs="Times New Roman"/>
          <w:sz w:val="24"/>
          <w:szCs w:val="24"/>
        </w:rPr>
        <w:t>[</w:t>
      </w:r>
      <w:r w:rsidR="008B1C4D" w:rsidRPr="009567DF">
        <w:rPr>
          <w:rFonts w:ascii="Times New Roman" w:hAnsi="Times New Roman" w:cs="Times New Roman"/>
          <w:sz w:val="24"/>
          <w:szCs w:val="24"/>
        </w:rPr>
        <w:t>4</w:t>
      </w:r>
      <w:r w:rsidR="00085500"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2016</w:t>
      </w:r>
      <w:r w:rsidR="00085500"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[same]</w:t>
      </w:r>
      <w:r w:rsidR="00085500"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p>
    <w:p w14:paraId="436BB8F1" w14:textId="77777777" w:rsidR="0020533C" w:rsidRPr="009567DF" w:rsidRDefault="0020533C" w:rsidP="00F54BB4">
      <w:pPr>
        <w:tabs>
          <w:tab w:val="left" w:pos="720"/>
        </w:tabs>
        <w:spacing w:after="0" w:line="240" w:lineRule="auto"/>
        <w:jc w:val="both"/>
        <w:rPr>
          <w:rFonts w:ascii="Times New Roman" w:hAnsi="Times New Roman" w:cs="Times New Roman"/>
          <w:sz w:val="24"/>
          <w:szCs w:val="24"/>
        </w:rPr>
      </w:pPr>
    </w:p>
    <w:p w14:paraId="57E15520" w14:textId="14E0E085" w:rsidR="008B1C4D" w:rsidRPr="009567DF" w:rsidRDefault="0020533C" w:rsidP="00F54BB4">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lastRenderedPageBreak/>
        <w:tab/>
      </w:r>
      <w:r w:rsidR="008B1C4D" w:rsidRPr="009567DF">
        <w:rPr>
          <w:rFonts w:ascii="Times New Roman" w:hAnsi="Times New Roman" w:cs="Times New Roman"/>
          <w:sz w:val="24"/>
          <w:szCs w:val="24"/>
        </w:rPr>
        <w:t>Second, an expert witness may relay statements of a hearsay declarant supported by a respondent’s admissions.</w:t>
      </w:r>
      <w:r w:rsidR="00085500"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w:t>
      </w:r>
      <w:r w:rsidR="008B1C4D" w:rsidRPr="009567DF">
        <w:rPr>
          <w:rFonts w:ascii="Times New Roman" w:hAnsi="Times New Roman" w:cs="Times New Roman"/>
          <w:i/>
          <w:iCs/>
          <w:sz w:val="24"/>
          <w:szCs w:val="24"/>
        </w:rPr>
        <w:t xml:space="preserve"> </w:t>
      </w:r>
      <w:r w:rsidR="008B1C4D" w:rsidRPr="009567DF">
        <w:rPr>
          <w:rFonts w:ascii="Times New Roman" w:hAnsi="Times New Roman" w:cs="Times New Roman"/>
          <w:sz w:val="24"/>
          <w:szCs w:val="24"/>
        </w:rPr>
        <w:t>22 NY3d at 109-110</w:t>
      </w:r>
      <w:r w:rsidR="00085500" w:rsidRPr="009567DF">
        <w:rPr>
          <w:rFonts w:ascii="Times New Roman" w:hAnsi="Times New Roman" w:cs="Times New Roman"/>
          <w:sz w:val="24"/>
          <w:szCs w:val="24"/>
        </w:rPr>
        <w:t xml:space="preserve">; </w:t>
      </w:r>
      <w:r w:rsidR="00085500" w:rsidRPr="009567DF">
        <w:rPr>
          <w:rFonts w:ascii="Times New Roman" w:hAnsi="Times New Roman" w:cs="Times New Roman"/>
          <w:i/>
          <w:iCs/>
          <w:sz w:val="24"/>
          <w:szCs w:val="24"/>
        </w:rPr>
        <w:t>s</w:t>
      </w:r>
      <w:r w:rsidR="008B1C4D" w:rsidRPr="009567DF">
        <w:rPr>
          <w:rFonts w:ascii="Times New Roman" w:hAnsi="Times New Roman" w:cs="Times New Roman"/>
          <w:i/>
          <w:iCs/>
          <w:sz w:val="24"/>
          <w:szCs w:val="24"/>
        </w:rPr>
        <w:t xml:space="preserve">ee </w:t>
      </w:r>
      <w:r w:rsidR="00D52110" w:rsidRPr="009567DF">
        <w:rPr>
          <w:rFonts w:ascii="Times New Roman" w:hAnsi="Times New Roman" w:cs="Times New Roman"/>
          <w:sz w:val="24"/>
          <w:szCs w:val="24"/>
        </w:rPr>
        <w:t>GNYE</w:t>
      </w:r>
      <w:r w:rsidR="008B1C4D" w:rsidRPr="009567DF">
        <w:rPr>
          <w:rFonts w:ascii="Times New Roman" w:hAnsi="Times New Roman" w:cs="Times New Roman"/>
          <w:sz w:val="24"/>
          <w:szCs w:val="24"/>
        </w:rPr>
        <w:t xml:space="preserve"> rule 8.03 </w:t>
      </w:r>
      <w:r w:rsidR="001F759C" w:rsidRPr="009567DF">
        <w:rPr>
          <w:rFonts w:ascii="Times New Roman" w:hAnsi="Times New Roman" w:cs="Times New Roman"/>
          <w:sz w:val="24"/>
          <w:szCs w:val="24"/>
        </w:rPr>
        <w:t>[</w:t>
      </w:r>
      <w:r w:rsidR="008B1C4D" w:rsidRPr="009567DF">
        <w:rPr>
          <w:rFonts w:ascii="Times New Roman" w:hAnsi="Times New Roman" w:cs="Times New Roman"/>
          <w:sz w:val="24"/>
          <w:szCs w:val="24"/>
        </w:rPr>
        <w:t>governing the general admissibility of party admissions as an exception to the hearsay rule</w:t>
      </w:r>
      <w:r w:rsidR="001F759C"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r w:rsidR="001F759C" w:rsidRPr="009567DF">
        <w:rPr>
          <w:rFonts w:ascii="Times New Roman" w:hAnsi="Times New Roman" w:cs="Times New Roman"/>
          <w:sz w:val="24"/>
          <w:szCs w:val="24"/>
        </w:rPr>
        <w:t>)</w:t>
      </w:r>
    </w:p>
    <w:p w14:paraId="5AA75A37" w14:textId="77777777" w:rsidR="0020533C" w:rsidRPr="009567DF" w:rsidRDefault="0020533C" w:rsidP="00F54BB4">
      <w:pPr>
        <w:tabs>
          <w:tab w:val="left" w:pos="720"/>
        </w:tabs>
        <w:spacing w:after="0" w:line="240" w:lineRule="auto"/>
        <w:jc w:val="both"/>
        <w:rPr>
          <w:rFonts w:ascii="Times New Roman" w:hAnsi="Times New Roman" w:cs="Times New Roman"/>
          <w:sz w:val="24"/>
          <w:szCs w:val="24"/>
        </w:rPr>
      </w:pPr>
    </w:p>
    <w:p w14:paraId="76636D56" w14:textId="3241636D" w:rsidR="008B1C4D" w:rsidRPr="009567DF" w:rsidRDefault="0020533C" w:rsidP="00F54BB4">
      <w:pPr>
        <w:tabs>
          <w:tab w:val="left" w:pos="720"/>
        </w:tabs>
        <w:spacing w:after="0" w:line="240" w:lineRule="auto"/>
        <w:jc w:val="both"/>
        <w:rPr>
          <w:rFonts w:ascii="Times New Roman" w:hAnsi="Times New Roman" w:cs="Times New Roman"/>
          <w:strike/>
          <w:sz w:val="24"/>
          <w:szCs w:val="24"/>
        </w:rPr>
      </w:pPr>
      <w:r w:rsidRPr="009567DF">
        <w:rPr>
          <w:rFonts w:ascii="Times New Roman" w:hAnsi="Times New Roman" w:cs="Times New Roman"/>
          <w:sz w:val="24"/>
          <w:szCs w:val="24"/>
        </w:rPr>
        <w:tab/>
      </w:r>
      <w:r w:rsidR="00203468" w:rsidRPr="009567DF">
        <w:rPr>
          <w:rFonts w:ascii="Times New Roman" w:hAnsi="Times New Roman" w:cs="Times New Roman"/>
          <w:sz w:val="24"/>
          <w:szCs w:val="24"/>
        </w:rPr>
        <w:t xml:space="preserve">Decisional </w:t>
      </w:r>
      <w:r w:rsidR="008B1C4D" w:rsidRPr="009567DF">
        <w:rPr>
          <w:rFonts w:ascii="Times New Roman" w:hAnsi="Times New Roman" w:cs="Times New Roman"/>
          <w:sz w:val="24"/>
          <w:szCs w:val="24"/>
        </w:rPr>
        <w:t>law does not require that every detail of a hearsay declarant’s statements need be included as part of an underlying reliability determination</w:t>
      </w:r>
      <w:r w:rsidR="00A5116C" w:rsidRPr="009567DF">
        <w:rPr>
          <w:rFonts w:ascii="Times New Roman" w:hAnsi="Times New Roman" w:cs="Times New Roman"/>
          <w:sz w:val="24"/>
          <w:szCs w:val="24"/>
        </w:rPr>
        <w:t>.</w:t>
      </w:r>
      <w:r w:rsidR="004F524B"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What is required is that the underlying reliability factor supports the hearsay declarant’s assertions. (</w:t>
      </w:r>
      <w:r w:rsidR="008B1C4D" w:rsidRPr="009567DF">
        <w:rPr>
          <w:rFonts w:ascii="Times New Roman" w:hAnsi="Times New Roman" w:cs="Times New Roman"/>
          <w:i/>
          <w:iCs/>
          <w:sz w:val="24"/>
          <w:szCs w:val="24"/>
        </w:rPr>
        <w:t>See Matter of State of New York v James R.C.</w:t>
      </w:r>
      <w:r w:rsidR="008B1C4D" w:rsidRPr="009567DF">
        <w:rPr>
          <w:rFonts w:ascii="Times New Roman" w:hAnsi="Times New Roman" w:cs="Times New Roman"/>
          <w:sz w:val="24"/>
          <w:szCs w:val="24"/>
        </w:rPr>
        <w:t>, 165 AD3d 1612, 1614-1615 [4</w:t>
      </w:r>
      <w:r w:rsidR="00A546A0"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2018] [allowing records of a guilt finding for a sexual infraction at a prison disciplinary proceeding to be admitted under this rule</w:t>
      </w:r>
      <w:r w:rsidR="00157C7F" w:rsidRPr="009567DF">
        <w:rPr>
          <w:rFonts w:ascii="Times New Roman" w:hAnsi="Times New Roman" w:cs="Times New Roman"/>
          <w:sz w:val="24"/>
          <w:szCs w:val="24"/>
        </w:rPr>
        <w:t xml:space="preserve"> because they satisfied the two-part test set forth in </w:t>
      </w:r>
      <w:r w:rsidR="00157C7F" w:rsidRPr="009567DF">
        <w:rPr>
          <w:rFonts w:ascii="Times New Roman" w:hAnsi="Times New Roman" w:cs="Times New Roman"/>
          <w:i/>
          <w:iCs/>
          <w:sz w:val="24"/>
          <w:szCs w:val="24"/>
        </w:rPr>
        <w:t>Floyd Y</w:t>
      </w:r>
      <w:r w:rsidR="00B42F10" w:rsidRPr="009567DF">
        <w:rPr>
          <w:rFonts w:ascii="Times New Roman" w:hAnsi="Times New Roman" w:cs="Times New Roman"/>
          <w:sz w:val="24"/>
          <w:szCs w:val="24"/>
        </w:rPr>
        <w:t xml:space="preserve"> for the admission of hearsay basis evidence</w:t>
      </w:r>
      <w:r w:rsidR="008B1C4D" w:rsidRPr="009567DF">
        <w:rPr>
          <w:rFonts w:ascii="Times New Roman" w:hAnsi="Times New Roman" w:cs="Times New Roman"/>
          <w:sz w:val="24"/>
          <w:szCs w:val="24"/>
        </w:rPr>
        <w:t>].</w:t>
      </w:r>
      <w:r w:rsidR="00A546A0" w:rsidRPr="009567DF">
        <w:rPr>
          <w:rFonts w:ascii="Times New Roman" w:hAnsi="Times New Roman" w:cs="Times New Roman"/>
          <w:sz w:val="24"/>
          <w:szCs w:val="24"/>
        </w:rPr>
        <w:t>)</w:t>
      </w:r>
    </w:p>
    <w:p w14:paraId="3911ED4F" w14:textId="77777777" w:rsidR="0020533C" w:rsidRPr="009567DF" w:rsidRDefault="0020533C" w:rsidP="0020533C">
      <w:pPr>
        <w:tabs>
          <w:tab w:val="left" w:pos="720"/>
          <w:tab w:val="left" w:pos="7200"/>
        </w:tabs>
        <w:spacing w:after="0" w:line="240" w:lineRule="auto"/>
        <w:jc w:val="both"/>
        <w:rPr>
          <w:rFonts w:ascii="Times New Roman" w:hAnsi="Times New Roman" w:cs="Times New Roman"/>
          <w:sz w:val="24"/>
          <w:szCs w:val="24"/>
        </w:rPr>
      </w:pPr>
    </w:p>
    <w:p w14:paraId="5F667793" w14:textId="0156EE61" w:rsidR="008B1C4D" w:rsidRPr="009567DF" w:rsidRDefault="0020533C" w:rsidP="00F54BB4">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In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 xml:space="preserve">the respondent admitted having inappropriate conversations with a minor and the </w:t>
      </w:r>
      <w:r w:rsidR="00A149C6" w:rsidRPr="009567DF">
        <w:rPr>
          <w:rFonts w:ascii="Times New Roman" w:hAnsi="Times New Roman" w:cs="Times New Roman"/>
          <w:sz w:val="24"/>
          <w:szCs w:val="24"/>
        </w:rPr>
        <w:t>C</w:t>
      </w:r>
      <w:r w:rsidR="008B1C4D" w:rsidRPr="009567DF">
        <w:rPr>
          <w:rFonts w:ascii="Times New Roman" w:hAnsi="Times New Roman" w:cs="Times New Roman"/>
          <w:sz w:val="24"/>
          <w:szCs w:val="24"/>
        </w:rPr>
        <w:t>ourt held, based on this admission, that facts from the minor’s affidavit regarding these conversations were admissible even though it was not clear the respondent’s admission contained all of the information in the minor’s affidavit.</w:t>
      </w:r>
      <w:r w:rsidR="00A546A0"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See Matter of State of New York v Bass</w:t>
      </w:r>
      <w:r w:rsidR="008B1C4D" w:rsidRPr="009567DF">
        <w:rPr>
          <w:rFonts w:ascii="Times New Roman" w:hAnsi="Times New Roman" w:cs="Times New Roman"/>
          <w:sz w:val="24"/>
          <w:szCs w:val="24"/>
        </w:rPr>
        <w:t>, 119 AD3d 1356 [4</w:t>
      </w:r>
      <w:r w:rsidR="00A546A0"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2014] [outlining the wide scope of evidence admissible in the case based on guilt findings and admissions];</w:t>
      </w:r>
      <w:r w:rsidR="008B1C4D" w:rsidRPr="009567DF">
        <w:rPr>
          <w:rFonts w:ascii="Times New Roman" w:hAnsi="Times New Roman" w:cs="Times New Roman"/>
          <w:i/>
          <w:iCs/>
          <w:sz w:val="24"/>
          <w:szCs w:val="24"/>
        </w:rPr>
        <w:t xml:space="preserve"> Matter of State of New York v Justin D.</w:t>
      </w:r>
      <w:r w:rsidR="008B1C4D" w:rsidRPr="009567DF">
        <w:rPr>
          <w:rFonts w:ascii="Times New Roman" w:hAnsi="Times New Roman" w:cs="Times New Roman"/>
          <w:sz w:val="24"/>
          <w:szCs w:val="24"/>
        </w:rPr>
        <w:t>, 145 AD3d 735 [2</w:t>
      </w:r>
      <w:r w:rsidR="00A546A0" w:rsidRPr="009567DF">
        <w:rPr>
          <w:rFonts w:ascii="Times New Roman" w:hAnsi="Times New Roman" w:cs="Times New Roman"/>
          <w:sz w:val="24"/>
          <w:szCs w:val="24"/>
        </w:rPr>
        <w:t>d</w:t>
      </w:r>
      <w:r w:rsidR="008B1C4D" w:rsidRPr="009567DF">
        <w:rPr>
          <w:rFonts w:ascii="Times New Roman" w:hAnsi="Times New Roman" w:cs="Times New Roman"/>
          <w:sz w:val="24"/>
          <w:szCs w:val="24"/>
        </w:rPr>
        <w:t xml:space="preserve"> Dept 2016] [statements of respondent during sex offender treatment were admissible even though normally privileged, citing M</w:t>
      </w:r>
      <w:r w:rsidR="00A546A0" w:rsidRPr="009567DF">
        <w:rPr>
          <w:rFonts w:ascii="Times New Roman" w:hAnsi="Times New Roman" w:cs="Times New Roman"/>
          <w:sz w:val="24"/>
          <w:szCs w:val="24"/>
        </w:rPr>
        <w:t xml:space="preserve">ental </w:t>
      </w:r>
      <w:r w:rsidR="008B1C4D" w:rsidRPr="009567DF">
        <w:rPr>
          <w:rFonts w:ascii="Times New Roman" w:hAnsi="Times New Roman" w:cs="Times New Roman"/>
          <w:sz w:val="24"/>
          <w:szCs w:val="24"/>
        </w:rPr>
        <w:t>H</w:t>
      </w:r>
      <w:r w:rsidR="00A546A0" w:rsidRPr="009567DF">
        <w:rPr>
          <w:rFonts w:ascii="Times New Roman" w:hAnsi="Times New Roman" w:cs="Times New Roman"/>
          <w:sz w:val="24"/>
          <w:szCs w:val="24"/>
        </w:rPr>
        <w:t xml:space="preserve">ygiene </w:t>
      </w:r>
      <w:r w:rsidR="008B1C4D" w:rsidRPr="009567DF">
        <w:rPr>
          <w:rFonts w:ascii="Times New Roman" w:hAnsi="Times New Roman" w:cs="Times New Roman"/>
          <w:sz w:val="24"/>
          <w:szCs w:val="24"/>
        </w:rPr>
        <w:t>L</w:t>
      </w:r>
      <w:r w:rsidR="00A546A0" w:rsidRPr="009567DF">
        <w:rPr>
          <w:rFonts w:ascii="Times New Roman" w:hAnsi="Times New Roman" w:cs="Times New Roman"/>
          <w:sz w:val="24"/>
          <w:szCs w:val="24"/>
        </w:rPr>
        <w:t>aw</w:t>
      </w:r>
      <w:r w:rsidR="008B1C4D" w:rsidRPr="009567DF">
        <w:rPr>
          <w:rFonts w:ascii="Times New Roman" w:hAnsi="Times New Roman" w:cs="Times New Roman"/>
          <w:sz w:val="24"/>
          <w:szCs w:val="24"/>
        </w:rPr>
        <w:t xml:space="preserve"> § 10.08 (b) </w:t>
      </w:r>
      <w:r w:rsidR="003976F6" w:rsidRPr="009567DF">
        <w:rPr>
          <w:rFonts w:ascii="Times New Roman" w:hAnsi="Times New Roman" w:cs="Times New Roman"/>
          <w:sz w:val="24"/>
          <w:szCs w:val="24"/>
        </w:rPr>
        <w:t>and</w:t>
      </w:r>
      <w:r w:rsidR="008B1C4D" w:rsidRPr="009567DF">
        <w:rPr>
          <w:rFonts w:ascii="Times New Roman" w:hAnsi="Times New Roman" w:cs="Times New Roman"/>
          <w:sz w:val="24"/>
          <w:szCs w:val="24"/>
        </w:rPr>
        <w:t xml:space="preserve"> (c)]</w:t>
      </w:r>
      <w:r w:rsidR="00A546A0"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r w:rsidR="00A546A0" w:rsidRPr="009567DF">
        <w:rPr>
          <w:rFonts w:ascii="Times New Roman" w:hAnsi="Times New Roman" w:cs="Times New Roman"/>
          <w:i/>
          <w:iCs/>
          <w:sz w:val="24"/>
          <w:szCs w:val="24"/>
        </w:rPr>
        <w:t>b</w:t>
      </w:r>
      <w:r w:rsidR="008B1C4D" w:rsidRPr="009567DF">
        <w:rPr>
          <w:rFonts w:ascii="Times New Roman" w:hAnsi="Times New Roman" w:cs="Times New Roman"/>
          <w:i/>
          <w:iCs/>
          <w:sz w:val="24"/>
          <w:szCs w:val="24"/>
        </w:rPr>
        <w:t>ut see</w:t>
      </w:r>
      <w:r w:rsidR="008B1C4D"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Matter of State of New York v Abdul A.</w:t>
      </w:r>
      <w:r w:rsidR="008B1C4D" w:rsidRPr="009567DF">
        <w:rPr>
          <w:rFonts w:ascii="Times New Roman" w:hAnsi="Times New Roman" w:cs="Times New Roman"/>
          <w:sz w:val="24"/>
          <w:szCs w:val="24"/>
        </w:rPr>
        <w:t>, 123 AD3d 1047, 1048 [2</w:t>
      </w:r>
      <w:r w:rsidR="00A546A0" w:rsidRPr="009567DF">
        <w:rPr>
          <w:rFonts w:ascii="Times New Roman" w:hAnsi="Times New Roman" w:cs="Times New Roman"/>
          <w:sz w:val="24"/>
          <w:szCs w:val="24"/>
        </w:rPr>
        <w:t>d</w:t>
      </w:r>
      <w:r w:rsidR="008B1C4D" w:rsidRPr="009567DF">
        <w:rPr>
          <w:rFonts w:ascii="Times New Roman" w:hAnsi="Times New Roman" w:cs="Times New Roman"/>
          <w:sz w:val="24"/>
          <w:szCs w:val="24"/>
        </w:rPr>
        <w:t xml:space="preserve"> Dept 2014] [trial court erred in allowing expert to testify that “someone at the Manhattan Psychiatric Center had diagnosed the appellant with pedophilia”]</w:t>
      </w:r>
      <w:r w:rsidR="00A546A0"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p>
    <w:p w14:paraId="63D57091" w14:textId="77777777" w:rsidR="0020533C" w:rsidRPr="009567DF" w:rsidRDefault="0020533C" w:rsidP="00F54BB4">
      <w:pPr>
        <w:tabs>
          <w:tab w:val="left" w:pos="720"/>
        </w:tabs>
        <w:spacing w:after="0" w:line="240" w:lineRule="auto"/>
        <w:jc w:val="both"/>
        <w:rPr>
          <w:rFonts w:ascii="Times New Roman" w:hAnsi="Times New Roman" w:cs="Times New Roman"/>
          <w:sz w:val="24"/>
          <w:szCs w:val="24"/>
        </w:rPr>
      </w:pPr>
    </w:p>
    <w:p w14:paraId="7A5F493A" w14:textId="0A0BF194" w:rsidR="008B1C4D" w:rsidRPr="009567DF" w:rsidRDefault="0020533C" w:rsidP="00F54BB4">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Criminal charges for which the defendant was acquitted are </w:t>
      </w:r>
      <w:r w:rsidR="008B1C4D" w:rsidRPr="009567DF">
        <w:rPr>
          <w:rFonts w:ascii="Times New Roman" w:hAnsi="Times New Roman" w:cs="Times New Roman"/>
          <w:strike/>
          <w:sz w:val="24"/>
          <w:szCs w:val="24"/>
        </w:rPr>
        <w:t>not</w:t>
      </w:r>
      <w:r w:rsidR="008B1C4D" w:rsidRPr="009567DF">
        <w:rPr>
          <w:rFonts w:ascii="Times New Roman" w:hAnsi="Times New Roman" w:cs="Times New Roman"/>
          <w:sz w:val="24"/>
          <w:szCs w:val="24"/>
        </w:rPr>
        <w:t xml:space="preserve"> </w:t>
      </w:r>
      <w:r w:rsidR="009E37E9" w:rsidRPr="009567DF">
        <w:rPr>
          <w:rFonts w:ascii="Times New Roman" w:hAnsi="Times New Roman" w:cs="Times New Roman"/>
          <w:sz w:val="24"/>
          <w:szCs w:val="24"/>
        </w:rPr>
        <w:t>in</w:t>
      </w:r>
      <w:r w:rsidR="008B1C4D" w:rsidRPr="009567DF">
        <w:rPr>
          <w:rFonts w:ascii="Times New Roman" w:hAnsi="Times New Roman" w:cs="Times New Roman"/>
          <w:sz w:val="24"/>
          <w:szCs w:val="24"/>
        </w:rPr>
        <w:t>admissible. (</w:t>
      </w:r>
      <w:r w:rsidR="008B1C4D" w:rsidRPr="009567DF">
        <w:rPr>
          <w:rFonts w:ascii="Times New Roman" w:hAnsi="Times New Roman" w:cs="Times New Roman"/>
          <w:i/>
          <w:iCs/>
          <w:sz w:val="24"/>
          <w:szCs w:val="24"/>
        </w:rPr>
        <w:t>Floyd</w:t>
      </w:r>
      <w:r w:rsidR="00A149C6" w:rsidRPr="009567DF">
        <w:rPr>
          <w:rFonts w:ascii="Times New Roman" w:hAnsi="Times New Roman" w:cs="Times New Roman"/>
          <w:i/>
          <w:iCs/>
          <w:sz w:val="24"/>
          <w:szCs w:val="24"/>
        </w:rPr>
        <w:t xml:space="preserve"> Y.</w:t>
      </w:r>
      <w:r w:rsidR="008B1C4D" w:rsidRPr="009567DF">
        <w:rPr>
          <w:rFonts w:ascii="Times New Roman" w:hAnsi="Times New Roman" w:cs="Times New Roman"/>
          <w:i/>
          <w:iCs/>
          <w:sz w:val="24"/>
          <w:szCs w:val="24"/>
        </w:rPr>
        <w:t>,</w:t>
      </w:r>
      <w:r w:rsidR="008B1C4D" w:rsidRPr="009567DF">
        <w:rPr>
          <w:rFonts w:ascii="Times New Roman" w:hAnsi="Times New Roman" w:cs="Times New Roman"/>
          <w:sz w:val="24"/>
          <w:szCs w:val="24"/>
        </w:rPr>
        <w:t xml:space="preserve"> 22 NY3d at 110</w:t>
      </w:r>
      <w:r w:rsidR="00210DE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“Uncharged accusations” </w:t>
      </w:r>
      <w:r w:rsidR="00210DE6" w:rsidRPr="009567DF">
        <w:rPr>
          <w:rFonts w:ascii="Times New Roman" w:hAnsi="Times New Roman" w:cs="Times New Roman"/>
          <w:sz w:val="24"/>
          <w:szCs w:val="24"/>
        </w:rPr>
        <w:t>(</w:t>
      </w:r>
      <w:r w:rsidR="008B1C4D" w:rsidRPr="009567DF">
        <w:rPr>
          <w:rFonts w:ascii="Times New Roman" w:hAnsi="Times New Roman" w:cs="Times New Roman"/>
          <w:sz w:val="24"/>
          <w:szCs w:val="24"/>
        </w:rPr>
        <w:t>not supported by extrinsic evidence or admissions</w:t>
      </w:r>
      <w:r w:rsidR="00210DE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are not admissible. (</w:t>
      </w:r>
      <w:r w:rsidR="008B1C4D" w:rsidRPr="009567DF">
        <w:rPr>
          <w:rFonts w:ascii="Times New Roman" w:hAnsi="Times New Roman" w:cs="Times New Roman"/>
          <w:i/>
          <w:iCs/>
          <w:sz w:val="24"/>
          <w:szCs w:val="24"/>
        </w:rPr>
        <w:t>Id.</w:t>
      </w:r>
      <w:r w:rsidR="008B1C4D" w:rsidRPr="009567DF">
        <w:rPr>
          <w:rFonts w:ascii="Times New Roman" w:hAnsi="Times New Roman" w:cs="Times New Roman"/>
          <w:sz w:val="24"/>
          <w:szCs w:val="24"/>
        </w:rPr>
        <w:t>)</w:t>
      </w:r>
      <w:r w:rsidR="008B1C4D" w:rsidRPr="009567DF">
        <w:rPr>
          <w:rFonts w:ascii="Times New Roman" w:hAnsi="Times New Roman" w:cs="Times New Roman"/>
          <w:i/>
          <w:iCs/>
          <w:sz w:val="24"/>
          <w:szCs w:val="24"/>
        </w:rPr>
        <w:t xml:space="preserve"> </w:t>
      </w:r>
      <w:r w:rsidR="008B1C4D" w:rsidRPr="009567DF">
        <w:rPr>
          <w:rFonts w:ascii="Times New Roman" w:hAnsi="Times New Roman" w:cs="Times New Roman"/>
          <w:sz w:val="24"/>
          <w:szCs w:val="24"/>
        </w:rPr>
        <w:t xml:space="preserve">In </w:t>
      </w:r>
      <w:r w:rsidR="008B1C4D" w:rsidRPr="009567DF">
        <w:rPr>
          <w:rFonts w:ascii="Times New Roman" w:hAnsi="Times New Roman" w:cs="Times New Roman"/>
          <w:i/>
          <w:iCs/>
          <w:sz w:val="24"/>
          <w:szCs w:val="24"/>
        </w:rPr>
        <w:t>John S.</w:t>
      </w:r>
      <w:r w:rsidR="008B1C4D" w:rsidRPr="009567DF">
        <w:rPr>
          <w:rFonts w:ascii="Times New Roman" w:hAnsi="Times New Roman" w:cs="Times New Roman"/>
          <w:sz w:val="24"/>
          <w:szCs w:val="24"/>
        </w:rPr>
        <w:t xml:space="preserve">, for example, the </w:t>
      </w:r>
      <w:r w:rsidR="00210DE6" w:rsidRPr="009567DF">
        <w:rPr>
          <w:rFonts w:ascii="Times New Roman" w:hAnsi="Times New Roman" w:cs="Times New Roman"/>
          <w:sz w:val="24"/>
          <w:szCs w:val="24"/>
        </w:rPr>
        <w:t>C</w:t>
      </w:r>
      <w:r w:rsidR="008B1C4D" w:rsidRPr="009567DF">
        <w:rPr>
          <w:rFonts w:ascii="Times New Roman" w:hAnsi="Times New Roman" w:cs="Times New Roman"/>
          <w:sz w:val="24"/>
          <w:szCs w:val="24"/>
        </w:rPr>
        <w:t>ourt found the admission of evidence of an uncharged rape</w:t>
      </w:r>
      <w:r w:rsidR="00BF20C9" w:rsidRPr="009567DF">
        <w:rPr>
          <w:rFonts w:ascii="Times New Roman" w:hAnsi="Times New Roman" w:cs="Times New Roman"/>
          <w:sz w:val="24"/>
          <w:szCs w:val="24"/>
        </w:rPr>
        <w:t xml:space="preserve"> through expert testimony</w:t>
      </w:r>
      <w:r w:rsidR="008B1C4D" w:rsidRPr="009567DF">
        <w:rPr>
          <w:rFonts w:ascii="Times New Roman" w:hAnsi="Times New Roman" w:cs="Times New Roman"/>
          <w:sz w:val="24"/>
          <w:szCs w:val="24"/>
        </w:rPr>
        <w:t xml:space="preserve"> derived solely from a presentence report was error because it was not sufficiently reliable. (</w:t>
      </w:r>
      <w:r w:rsidR="008B1C4D" w:rsidRPr="009567DF">
        <w:rPr>
          <w:rFonts w:ascii="Times New Roman" w:hAnsi="Times New Roman" w:cs="Times New Roman"/>
          <w:i/>
          <w:iCs/>
          <w:sz w:val="24"/>
          <w:szCs w:val="24"/>
        </w:rPr>
        <w:t>John S.</w:t>
      </w:r>
      <w:r w:rsidR="008B1C4D" w:rsidRPr="009567DF">
        <w:rPr>
          <w:rFonts w:ascii="Times New Roman" w:hAnsi="Times New Roman" w:cs="Times New Roman"/>
          <w:sz w:val="24"/>
          <w:szCs w:val="24"/>
        </w:rPr>
        <w:t>,</w:t>
      </w:r>
      <w:r w:rsidR="008B1C4D" w:rsidRPr="009567DF">
        <w:rPr>
          <w:rFonts w:ascii="Times New Roman" w:hAnsi="Times New Roman" w:cs="Times New Roman"/>
          <w:i/>
          <w:iCs/>
          <w:sz w:val="24"/>
          <w:szCs w:val="24"/>
        </w:rPr>
        <w:t xml:space="preserve"> </w:t>
      </w:r>
      <w:r w:rsidR="008B1C4D" w:rsidRPr="009567DF">
        <w:rPr>
          <w:rFonts w:ascii="Times New Roman" w:hAnsi="Times New Roman" w:cs="Times New Roman"/>
          <w:sz w:val="24"/>
          <w:szCs w:val="24"/>
        </w:rPr>
        <w:t>23 NY3d at 346-347</w:t>
      </w:r>
      <w:r w:rsidR="00210DE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r w:rsidR="00210DE6" w:rsidRPr="009567DF">
        <w:rPr>
          <w:rFonts w:ascii="Times New Roman" w:hAnsi="Times New Roman" w:cs="Times New Roman"/>
          <w:i/>
          <w:iCs/>
          <w:sz w:val="24"/>
          <w:szCs w:val="24"/>
        </w:rPr>
        <w:t>se</w:t>
      </w:r>
      <w:r w:rsidR="008B1C4D" w:rsidRPr="009567DF">
        <w:rPr>
          <w:rFonts w:ascii="Times New Roman" w:hAnsi="Times New Roman" w:cs="Times New Roman"/>
          <w:i/>
          <w:iCs/>
          <w:sz w:val="24"/>
          <w:szCs w:val="24"/>
        </w:rPr>
        <w:t>e Charada T.</w:t>
      </w:r>
      <w:r w:rsidR="008B1C4D" w:rsidRPr="009567DF">
        <w:rPr>
          <w:rFonts w:ascii="Times New Roman" w:hAnsi="Times New Roman" w:cs="Times New Roman"/>
          <w:sz w:val="24"/>
          <w:szCs w:val="24"/>
        </w:rPr>
        <w:t>, 23 NY3d at 358 [</w:t>
      </w:r>
      <w:r w:rsidR="008B1C4D" w:rsidRPr="009567DF">
        <w:rPr>
          <w:rFonts w:ascii="Times New Roman" w:eastAsia="Times New Roman" w:hAnsi="Times New Roman" w:cs="Times New Roman"/>
          <w:kern w:val="0"/>
          <w:sz w:val="24"/>
          <w:szCs w:val="24"/>
          <w14:ligatures w14:val="none"/>
        </w:rPr>
        <w:t>“hearsay testimony about a crime respondent Charada T. was never charged with committing” was error]</w:t>
      </w:r>
      <w:r w:rsidR="00210DE6" w:rsidRPr="009567DF">
        <w:rPr>
          <w:rFonts w:ascii="Times New Roman" w:eastAsia="Times New Roman" w:hAnsi="Times New Roman" w:cs="Times New Roman"/>
          <w:kern w:val="0"/>
          <w:sz w:val="24"/>
          <w:szCs w:val="24"/>
          <w14:ligatures w14:val="none"/>
        </w:rPr>
        <w:t>.</w:t>
      </w:r>
      <w:r w:rsidR="008B1C4D" w:rsidRPr="009567DF">
        <w:rPr>
          <w:rFonts w:ascii="Times New Roman" w:hAnsi="Times New Roman" w:cs="Times New Roman"/>
          <w:sz w:val="24"/>
          <w:szCs w:val="24"/>
        </w:rPr>
        <w:t>)</w:t>
      </w:r>
    </w:p>
    <w:p w14:paraId="51ED88E8" w14:textId="77777777" w:rsidR="0020533C" w:rsidRPr="009567DF" w:rsidRDefault="0020533C" w:rsidP="00F54BB4">
      <w:pPr>
        <w:tabs>
          <w:tab w:val="left" w:pos="720"/>
        </w:tabs>
        <w:spacing w:after="0" w:line="240" w:lineRule="auto"/>
        <w:jc w:val="both"/>
        <w:rPr>
          <w:rFonts w:ascii="Times New Roman" w:hAnsi="Times New Roman" w:cs="Times New Roman"/>
          <w:sz w:val="24"/>
          <w:szCs w:val="24"/>
        </w:rPr>
      </w:pPr>
    </w:p>
    <w:p w14:paraId="0E197702" w14:textId="0880E368" w:rsidR="008B1C4D" w:rsidRPr="009567DF" w:rsidRDefault="0020533C" w:rsidP="00F54BB4">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As </w:t>
      </w:r>
      <w:r w:rsidR="008B1C4D" w:rsidRPr="009567DF">
        <w:rPr>
          <w:rFonts w:ascii="Times New Roman" w:hAnsi="Times New Roman" w:cs="Times New Roman"/>
          <w:i/>
          <w:iCs/>
          <w:sz w:val="24"/>
          <w:szCs w:val="24"/>
        </w:rPr>
        <w:t>Floyd</w:t>
      </w:r>
      <w:r w:rsidR="0051640C" w:rsidRPr="009567DF">
        <w:rPr>
          <w:rFonts w:ascii="Times New Roman" w:hAnsi="Times New Roman" w:cs="Times New Roman"/>
          <w:i/>
          <w:iCs/>
          <w:sz w:val="24"/>
          <w:szCs w:val="24"/>
        </w:rPr>
        <w:t xml:space="preserve"> Y.</w:t>
      </w:r>
      <w:r w:rsidR="008B1C4D" w:rsidRPr="009567DF">
        <w:rPr>
          <w:rFonts w:ascii="Times New Roman" w:hAnsi="Times New Roman" w:cs="Times New Roman"/>
          <w:sz w:val="24"/>
          <w:szCs w:val="24"/>
        </w:rPr>
        <w:t xml:space="preserve"> explained: “Criminal charges that resulted in neither acquittal nor conviction require close scrutiny. Police charged Floyd Y. in connection with the accusation of the 15-year-old daughter of his ex-wife, but those charges were dropped in connection with Floyd Y.’s parole agreement promising to stay away from the girl. The parole agreement provides sufficient reliability to weigh in favor of admission of this hearsay. However, unlike an adjudication of guilt, the parole agreement does not conclusively prove the allegations. Supreme Court should have taken care to ensure that they were substantially more probative than prejudicial. In such a case, the better course would have been to require live confrontation of the declarant to ensure the statement’s reliability.”</w:t>
      </w:r>
      <w:r w:rsidR="005244E0"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Floyd</w:t>
      </w:r>
      <w:r w:rsidR="0051640C" w:rsidRPr="009567DF">
        <w:rPr>
          <w:rFonts w:ascii="Times New Roman" w:hAnsi="Times New Roman" w:cs="Times New Roman"/>
          <w:i/>
          <w:iCs/>
          <w:sz w:val="24"/>
          <w:szCs w:val="24"/>
        </w:rPr>
        <w:t xml:space="preserve"> Y.</w:t>
      </w:r>
      <w:r w:rsidR="008B1C4D" w:rsidRPr="009567DF">
        <w:rPr>
          <w:rFonts w:ascii="Times New Roman" w:hAnsi="Times New Roman" w:cs="Times New Roman"/>
          <w:i/>
          <w:iCs/>
          <w:sz w:val="24"/>
          <w:szCs w:val="24"/>
        </w:rPr>
        <w:t xml:space="preserve"> </w:t>
      </w:r>
      <w:r w:rsidR="008B1C4D" w:rsidRPr="009567DF">
        <w:rPr>
          <w:rFonts w:ascii="Times New Roman" w:hAnsi="Times New Roman" w:cs="Times New Roman"/>
          <w:sz w:val="24"/>
          <w:szCs w:val="24"/>
        </w:rPr>
        <w:t>at 110.</w:t>
      </w:r>
      <w:r w:rsidR="005244E0" w:rsidRPr="009567DF">
        <w:rPr>
          <w:rFonts w:ascii="Times New Roman" w:hAnsi="Times New Roman" w:cs="Times New Roman"/>
          <w:sz w:val="24"/>
          <w:szCs w:val="24"/>
        </w:rPr>
        <w:t>)</w:t>
      </w:r>
    </w:p>
    <w:p w14:paraId="260056A4" w14:textId="77777777" w:rsidR="0020533C" w:rsidRPr="009567DF" w:rsidRDefault="0020533C" w:rsidP="0020533C">
      <w:pPr>
        <w:tabs>
          <w:tab w:val="left" w:pos="720"/>
          <w:tab w:val="left" w:pos="7200"/>
        </w:tabs>
        <w:spacing w:after="0" w:line="240" w:lineRule="auto"/>
        <w:jc w:val="both"/>
        <w:rPr>
          <w:rFonts w:ascii="Times New Roman" w:hAnsi="Times New Roman" w:cs="Times New Roman"/>
          <w:sz w:val="24"/>
          <w:szCs w:val="24"/>
        </w:rPr>
      </w:pPr>
    </w:p>
    <w:p w14:paraId="490074BB" w14:textId="42ACCCF6" w:rsidR="004C2177" w:rsidRPr="009567DF" w:rsidRDefault="00F54BB4" w:rsidP="004C2177">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4C2177" w:rsidRPr="009567DF">
        <w:rPr>
          <w:rFonts w:ascii="Times New Roman" w:hAnsi="Times New Roman" w:cs="Times New Roman"/>
          <w:sz w:val="24"/>
          <w:szCs w:val="24"/>
        </w:rPr>
        <w:t xml:space="preserve">The </w:t>
      </w:r>
      <w:r w:rsidR="004C2177" w:rsidRPr="009567DF">
        <w:rPr>
          <w:rFonts w:ascii="Times New Roman" w:hAnsi="Times New Roman" w:cs="Times New Roman"/>
          <w:i/>
          <w:iCs/>
          <w:sz w:val="24"/>
          <w:szCs w:val="24"/>
        </w:rPr>
        <w:t xml:space="preserve">John S. </w:t>
      </w:r>
      <w:r w:rsidR="004C2177" w:rsidRPr="009567DF">
        <w:rPr>
          <w:rFonts w:ascii="Times New Roman" w:hAnsi="Times New Roman" w:cs="Times New Roman"/>
          <w:sz w:val="24"/>
          <w:szCs w:val="24"/>
        </w:rPr>
        <w:t xml:space="preserve">court applied the </w:t>
      </w:r>
      <w:r w:rsidR="004C2177" w:rsidRPr="009567DF">
        <w:rPr>
          <w:rFonts w:ascii="Times New Roman" w:hAnsi="Times New Roman" w:cs="Times New Roman"/>
          <w:i/>
          <w:iCs/>
          <w:sz w:val="24"/>
          <w:szCs w:val="24"/>
        </w:rPr>
        <w:t xml:space="preserve">Floyd Y. </w:t>
      </w:r>
      <w:r w:rsidR="004C2177" w:rsidRPr="009567DF">
        <w:rPr>
          <w:rFonts w:ascii="Times New Roman" w:hAnsi="Times New Roman" w:cs="Times New Roman"/>
          <w:sz w:val="24"/>
          <w:szCs w:val="24"/>
        </w:rPr>
        <w:t xml:space="preserve">standard in upholding the trial court’s admission, through expert testimony, of evidence of the respondent’s commission of sexual </w:t>
      </w:r>
      <w:r w:rsidR="005F7DE6" w:rsidRPr="009567DF">
        <w:rPr>
          <w:rFonts w:ascii="Times New Roman" w:hAnsi="Times New Roman" w:cs="Times New Roman"/>
          <w:sz w:val="24"/>
          <w:szCs w:val="24"/>
        </w:rPr>
        <w:t>offenses for</w:t>
      </w:r>
      <w:r w:rsidR="004C2177" w:rsidRPr="009567DF">
        <w:rPr>
          <w:rFonts w:ascii="Times New Roman" w:hAnsi="Times New Roman" w:cs="Times New Roman"/>
          <w:sz w:val="24"/>
          <w:szCs w:val="24"/>
        </w:rPr>
        <w:t xml:space="preserve"> which he had ple</w:t>
      </w:r>
      <w:r w:rsidR="00F567C3" w:rsidRPr="009567DF">
        <w:rPr>
          <w:rFonts w:ascii="Times New Roman" w:hAnsi="Times New Roman" w:cs="Times New Roman"/>
          <w:sz w:val="24"/>
          <w:szCs w:val="24"/>
        </w:rPr>
        <w:t>ade</w:t>
      </w:r>
      <w:r w:rsidR="004C2177" w:rsidRPr="009567DF">
        <w:rPr>
          <w:rFonts w:ascii="Times New Roman" w:hAnsi="Times New Roman" w:cs="Times New Roman"/>
          <w:sz w:val="24"/>
          <w:szCs w:val="24"/>
        </w:rPr>
        <w:t xml:space="preserve">d guilty, even though his guilty pleas were vacated a decade later based on mental incompetence, and the charges were never re-prosecuted. The court </w:t>
      </w:r>
      <w:r w:rsidR="00763227" w:rsidRPr="009567DF">
        <w:rPr>
          <w:rFonts w:ascii="Times New Roman" w:hAnsi="Times New Roman" w:cs="Times New Roman"/>
          <w:sz w:val="24"/>
          <w:szCs w:val="24"/>
        </w:rPr>
        <w:t>reasoned that</w:t>
      </w:r>
      <w:r w:rsidR="004C2177" w:rsidRPr="009567DF">
        <w:rPr>
          <w:rFonts w:ascii="Times New Roman" w:hAnsi="Times New Roman" w:cs="Times New Roman"/>
          <w:sz w:val="24"/>
          <w:szCs w:val="24"/>
        </w:rPr>
        <w:t xml:space="preserve"> the facts of the rapes were reliably established through extensive documentary evidence, </w:t>
      </w:r>
      <w:r w:rsidR="00240A57" w:rsidRPr="009567DF">
        <w:rPr>
          <w:rFonts w:ascii="Times New Roman" w:hAnsi="Times New Roman" w:cs="Times New Roman"/>
          <w:sz w:val="24"/>
          <w:szCs w:val="24"/>
        </w:rPr>
        <w:t xml:space="preserve">including allegations by five different victims which were reflected in indictments. </w:t>
      </w:r>
      <w:r w:rsidR="006F1869" w:rsidRPr="009567DF">
        <w:rPr>
          <w:rFonts w:ascii="Times New Roman" w:hAnsi="Times New Roman" w:cs="Times New Roman"/>
          <w:sz w:val="24"/>
          <w:szCs w:val="24"/>
        </w:rPr>
        <w:t>(</w:t>
      </w:r>
      <w:r w:rsidR="006F1869" w:rsidRPr="009567DF">
        <w:rPr>
          <w:rFonts w:ascii="Times New Roman" w:hAnsi="Times New Roman" w:cs="Times New Roman"/>
          <w:i/>
          <w:iCs/>
          <w:sz w:val="24"/>
          <w:szCs w:val="24"/>
        </w:rPr>
        <w:t xml:space="preserve">John S. </w:t>
      </w:r>
      <w:r w:rsidR="006F1869" w:rsidRPr="009567DF">
        <w:rPr>
          <w:rFonts w:ascii="Times New Roman" w:hAnsi="Times New Roman" w:cs="Times New Roman"/>
          <w:sz w:val="24"/>
          <w:szCs w:val="24"/>
        </w:rPr>
        <w:t>at 344-346.)</w:t>
      </w:r>
    </w:p>
    <w:p w14:paraId="1E969F43" w14:textId="77777777" w:rsidR="00CB56FF" w:rsidRPr="009567DF" w:rsidRDefault="00CB56FF" w:rsidP="00F54BB4">
      <w:pPr>
        <w:tabs>
          <w:tab w:val="left" w:pos="720"/>
        </w:tabs>
        <w:spacing w:after="0" w:line="240" w:lineRule="auto"/>
        <w:jc w:val="both"/>
        <w:rPr>
          <w:rFonts w:ascii="Times New Roman" w:hAnsi="Times New Roman" w:cs="Times New Roman"/>
          <w:sz w:val="24"/>
          <w:szCs w:val="24"/>
        </w:rPr>
      </w:pPr>
    </w:p>
    <w:p w14:paraId="7617AD48" w14:textId="7E2ACC39" w:rsidR="008B1C4D" w:rsidRPr="009567DF" w:rsidRDefault="0020533C" w:rsidP="001A38C3">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New York evidence rules also define when an expert can rely upon out-of-court material. “An expert . . . may rely on out-of-court material if: (i) it is of a kind accepted in the profession as reliable in forming a professional opinion, provided that there is evidence establishing the reliability of the out-of-court material; or the out-of-court material comes from a witness in the proceeding who was subject to full cross-examination by the opposing party</w:t>
      </w:r>
      <w:r w:rsidR="00DD2943" w:rsidRPr="009567DF">
        <w:rPr>
          <w:rFonts w:ascii="Times New Roman" w:hAnsi="Times New Roman" w:cs="Times New Roman"/>
          <w:sz w:val="24"/>
          <w:szCs w:val="24"/>
        </w:rPr>
        <w:t xml:space="preserve">; and (ii) </w:t>
      </w:r>
      <w:r w:rsidR="008B1C4D" w:rsidRPr="009567DF">
        <w:rPr>
          <w:rFonts w:ascii="Times New Roman" w:hAnsi="Times New Roman" w:cs="Times New Roman"/>
          <w:sz w:val="24"/>
          <w:szCs w:val="24"/>
        </w:rPr>
        <w:t>[the out-of-court material] is a link in the chain of data and accordingly not exclusively relied upon for the expert’s opinion</w:t>
      </w:r>
      <w:r w:rsidR="00C4260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r w:rsidR="00C4260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Guide to NY Evid rule 7.01 </w:t>
      </w:r>
      <w:r w:rsidR="00C42606" w:rsidRPr="009567DF">
        <w:rPr>
          <w:rFonts w:ascii="Times New Roman" w:hAnsi="Times New Roman" w:cs="Times New Roman"/>
          <w:sz w:val="24"/>
          <w:szCs w:val="24"/>
        </w:rPr>
        <w:t>[</w:t>
      </w:r>
      <w:r w:rsidR="008B1C4D" w:rsidRPr="009567DF">
        <w:rPr>
          <w:rFonts w:ascii="Times New Roman" w:hAnsi="Times New Roman" w:cs="Times New Roman"/>
          <w:sz w:val="24"/>
          <w:szCs w:val="24"/>
        </w:rPr>
        <w:t>5</w:t>
      </w:r>
      <w:r w:rsidR="00C4260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r w:rsidR="00C42606" w:rsidRPr="009567DF">
        <w:rPr>
          <w:rFonts w:ascii="Times New Roman" w:hAnsi="Times New Roman" w:cs="Times New Roman"/>
          <w:sz w:val="24"/>
          <w:szCs w:val="24"/>
        </w:rPr>
        <w:t>[</w:t>
      </w:r>
      <w:r w:rsidR="008B1C4D" w:rsidRPr="009567DF">
        <w:rPr>
          <w:rFonts w:ascii="Times New Roman" w:hAnsi="Times New Roman" w:cs="Times New Roman"/>
          <w:sz w:val="24"/>
          <w:szCs w:val="24"/>
        </w:rPr>
        <w:t>b</w:t>
      </w:r>
      <w:r w:rsidR="00C42606"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r w:rsidR="00C4260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Experts in article 10 cases typically rely on a uniform set of standard materials and routinely assert these materials are generally accepted as reliable in assessing sex offenders. The professional reliance issue is rarely contested in such cases.</w:t>
      </w:r>
    </w:p>
    <w:p w14:paraId="553D350F" w14:textId="77777777" w:rsidR="0020533C" w:rsidRPr="009567DF" w:rsidRDefault="0020533C" w:rsidP="0020533C">
      <w:pPr>
        <w:tabs>
          <w:tab w:val="left" w:pos="720"/>
          <w:tab w:val="left" w:pos="7200"/>
        </w:tabs>
        <w:spacing w:after="0" w:line="240" w:lineRule="auto"/>
        <w:ind w:right="144"/>
        <w:jc w:val="both"/>
        <w:rPr>
          <w:rFonts w:ascii="Times New Roman" w:hAnsi="Times New Roman" w:cs="Times New Roman"/>
          <w:sz w:val="24"/>
          <w:szCs w:val="24"/>
        </w:rPr>
      </w:pPr>
    </w:p>
    <w:p w14:paraId="3D05C078" w14:textId="4FE5BB00" w:rsidR="008B1C4D" w:rsidRPr="009567DF" w:rsidRDefault="0020533C" w:rsidP="007322CC">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There is a difference, however, between facts an expert may </w:t>
      </w:r>
      <w:r w:rsidR="008B1C4D" w:rsidRPr="009567DF">
        <w:rPr>
          <w:rFonts w:ascii="Times New Roman" w:hAnsi="Times New Roman" w:cs="Times New Roman"/>
          <w:i/>
          <w:iCs/>
          <w:sz w:val="24"/>
          <w:szCs w:val="24"/>
        </w:rPr>
        <w:t xml:space="preserve">rely upon </w:t>
      </w:r>
      <w:r w:rsidR="008B1C4D" w:rsidRPr="009567DF">
        <w:rPr>
          <w:rFonts w:ascii="Times New Roman" w:hAnsi="Times New Roman" w:cs="Times New Roman"/>
          <w:sz w:val="24"/>
          <w:szCs w:val="24"/>
        </w:rPr>
        <w:t xml:space="preserve">in reaching a conclusion and facts from a hearsay declarant the expert can </w:t>
      </w:r>
      <w:r w:rsidR="008B1C4D" w:rsidRPr="009567DF">
        <w:rPr>
          <w:rFonts w:ascii="Times New Roman" w:hAnsi="Times New Roman" w:cs="Times New Roman"/>
          <w:i/>
          <w:iCs/>
          <w:sz w:val="24"/>
          <w:szCs w:val="24"/>
        </w:rPr>
        <w:t xml:space="preserve">recite </w:t>
      </w:r>
      <w:r w:rsidR="008B1C4D" w:rsidRPr="009567DF">
        <w:rPr>
          <w:rFonts w:ascii="Times New Roman" w:hAnsi="Times New Roman" w:cs="Times New Roman"/>
          <w:sz w:val="24"/>
          <w:szCs w:val="24"/>
        </w:rPr>
        <w:t xml:space="preserve">during trial testimony. These two issues are often conflated but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xml:space="preserve"> addressed this distinction. “Although we have held that hearsay may play a role in an expert’s testimony because the expert may base an opinion on hearsay if it ‘is of a kind accepted in the profession as reliable in forming a professional opinion’ (</w:t>
      </w:r>
      <w:r w:rsidR="008B1C4D" w:rsidRPr="009567DF">
        <w:rPr>
          <w:rFonts w:ascii="Times New Roman" w:hAnsi="Times New Roman" w:cs="Times New Roman"/>
          <w:i/>
          <w:iCs/>
          <w:sz w:val="24"/>
          <w:szCs w:val="24"/>
        </w:rPr>
        <w:t>People v Goldstein</w:t>
      </w:r>
      <w:r w:rsidR="008B1C4D" w:rsidRPr="009567DF">
        <w:rPr>
          <w:rFonts w:ascii="Times New Roman" w:hAnsi="Times New Roman" w:cs="Times New Roman"/>
          <w:sz w:val="24"/>
          <w:szCs w:val="24"/>
        </w:rPr>
        <w:t>, 6 NY3d 119</w:t>
      </w:r>
      <w:r w:rsidR="00C041E1" w:rsidRPr="009567DF">
        <w:rPr>
          <w:rFonts w:ascii="Times New Roman" w:hAnsi="Times New Roman" w:cs="Times New Roman"/>
          <w:sz w:val="24"/>
          <w:szCs w:val="24"/>
        </w:rPr>
        <w:t>, 124</w:t>
      </w:r>
      <w:r w:rsidR="008B1C4D" w:rsidRPr="009567DF">
        <w:rPr>
          <w:rFonts w:ascii="Times New Roman" w:hAnsi="Times New Roman" w:cs="Times New Roman"/>
          <w:sz w:val="24"/>
          <w:szCs w:val="24"/>
        </w:rPr>
        <w:t xml:space="preserve"> </w:t>
      </w:r>
      <w:r w:rsidR="00320325" w:rsidRPr="009567DF">
        <w:rPr>
          <w:rFonts w:ascii="Times New Roman" w:hAnsi="Times New Roman" w:cs="Times New Roman"/>
          <w:sz w:val="24"/>
          <w:szCs w:val="24"/>
        </w:rPr>
        <w:t>[</w:t>
      </w:r>
      <w:r w:rsidR="008B1C4D" w:rsidRPr="009567DF">
        <w:rPr>
          <w:rFonts w:ascii="Times New Roman" w:hAnsi="Times New Roman" w:cs="Times New Roman"/>
          <w:sz w:val="24"/>
          <w:szCs w:val="24"/>
        </w:rPr>
        <w:t>2005</w:t>
      </w:r>
      <w:r w:rsidR="00320325"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r w:rsidR="00924968"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we have not decided [until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whether, or under what circumstances, an expert’s underlying basis information may be admissible in a civil proceeding, even though it consists of hearsay statements otherwise subject to exclusion.”</w:t>
      </w:r>
      <w:r w:rsidR="00A47874"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xml:space="preserve">, 22 NY3d at 107 </w:t>
      </w:r>
      <w:r w:rsidR="00A47874" w:rsidRPr="009567DF">
        <w:rPr>
          <w:rFonts w:ascii="Times New Roman" w:hAnsi="Times New Roman" w:cs="Times New Roman"/>
          <w:sz w:val="24"/>
          <w:szCs w:val="24"/>
        </w:rPr>
        <w:t>[</w:t>
      </w:r>
      <w:r w:rsidR="008B1C4D" w:rsidRPr="009567DF">
        <w:rPr>
          <w:rFonts w:ascii="Times New Roman" w:hAnsi="Times New Roman" w:cs="Times New Roman"/>
          <w:sz w:val="24"/>
          <w:szCs w:val="24"/>
        </w:rPr>
        <w:t>citation omitted</w:t>
      </w:r>
      <w:r w:rsidR="00A47874"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r w:rsidR="00A47874"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xml:space="preserve"> held that “basis hearsay does not come into evidence for its truth</w:t>
      </w:r>
      <w:r w:rsidR="00182357"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but rather to assist the factfinder with its essential article 10 task of evaluating the experts’ opinions.”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22 NY3d at 107</w:t>
      </w:r>
      <w:r w:rsidR="00A47874" w:rsidRPr="009567DF">
        <w:rPr>
          <w:rFonts w:ascii="Times New Roman" w:hAnsi="Times New Roman" w:cs="Times New Roman"/>
          <w:sz w:val="24"/>
          <w:szCs w:val="24"/>
        </w:rPr>
        <w:t>.</w:t>
      </w:r>
      <w:r w:rsidR="008B1C4D" w:rsidRPr="009567DF">
        <w:rPr>
          <w:rFonts w:ascii="Times New Roman" w:hAnsi="Times New Roman" w:cs="Times New Roman"/>
          <w:sz w:val="24"/>
          <w:szCs w:val="24"/>
        </w:rPr>
        <w:t>) Courts have also approved jury instructions reciting that principle. (</w:t>
      </w:r>
      <w:r w:rsidR="008B1C4D" w:rsidRPr="009567DF">
        <w:rPr>
          <w:rFonts w:ascii="Times New Roman" w:hAnsi="Times New Roman" w:cs="Times New Roman"/>
          <w:i/>
          <w:iCs/>
          <w:sz w:val="24"/>
          <w:szCs w:val="24"/>
        </w:rPr>
        <w:t>See John S.</w:t>
      </w:r>
      <w:r w:rsidR="00E26E0E" w:rsidRPr="009567DF">
        <w:rPr>
          <w:rFonts w:ascii="Times New Roman" w:hAnsi="Times New Roman" w:cs="Times New Roman"/>
          <w:sz w:val="24"/>
          <w:szCs w:val="24"/>
        </w:rPr>
        <w:t>,</w:t>
      </w:r>
      <w:r w:rsidR="008B1C4D" w:rsidRPr="009567DF">
        <w:rPr>
          <w:rFonts w:ascii="Times New Roman" w:hAnsi="Times New Roman" w:cs="Times New Roman"/>
          <w:i/>
          <w:iCs/>
          <w:sz w:val="24"/>
          <w:szCs w:val="24"/>
        </w:rPr>
        <w:t xml:space="preserve"> </w:t>
      </w:r>
      <w:r w:rsidR="008B1C4D" w:rsidRPr="009567DF">
        <w:rPr>
          <w:rFonts w:ascii="Times New Roman" w:hAnsi="Times New Roman" w:cs="Times New Roman"/>
          <w:sz w:val="24"/>
          <w:szCs w:val="24"/>
        </w:rPr>
        <w:t>23 NY3d at 346 [trial court adequately instructed the jury of the “limited purpose of out-of-court statements introduced to help evaluate the experts’ opinions” (</w:t>
      </w:r>
      <w:r w:rsidR="00856E78" w:rsidRPr="009567DF">
        <w:rPr>
          <w:rFonts w:ascii="Times New Roman" w:hAnsi="Times New Roman" w:cs="Times New Roman"/>
          <w:sz w:val="24"/>
          <w:szCs w:val="24"/>
        </w:rPr>
        <w:t>brackets and</w:t>
      </w:r>
      <w:r w:rsidR="008B1C4D" w:rsidRPr="009567DF">
        <w:rPr>
          <w:rFonts w:ascii="Times New Roman" w:hAnsi="Times New Roman" w:cs="Times New Roman"/>
          <w:sz w:val="24"/>
          <w:szCs w:val="24"/>
        </w:rPr>
        <w:t xml:space="preserve"> citation omitted)]</w:t>
      </w:r>
      <w:r w:rsidR="00856E78"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Thus, the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xml:space="preserve"> court held both that “basis hearsay” was hearsay and was not offered for its truth, which in any other context would make such evidence </w:t>
      </w:r>
      <w:r w:rsidR="008B1C4D" w:rsidRPr="009567DF">
        <w:rPr>
          <w:rFonts w:ascii="Times New Roman" w:hAnsi="Times New Roman" w:cs="Times New Roman"/>
          <w:i/>
          <w:iCs/>
          <w:sz w:val="24"/>
          <w:szCs w:val="24"/>
        </w:rPr>
        <w:t>not</w:t>
      </w:r>
      <w:r w:rsidR="008B1C4D" w:rsidRPr="009567DF">
        <w:rPr>
          <w:rFonts w:ascii="Times New Roman" w:hAnsi="Times New Roman" w:cs="Times New Roman"/>
          <w:sz w:val="24"/>
          <w:szCs w:val="24"/>
        </w:rPr>
        <w:t xml:space="preserve"> hearsay. (</w:t>
      </w:r>
      <w:r w:rsidR="008B1C4D" w:rsidRPr="009567DF">
        <w:rPr>
          <w:rFonts w:ascii="Times New Roman" w:hAnsi="Times New Roman" w:cs="Times New Roman"/>
          <w:i/>
          <w:iCs/>
          <w:sz w:val="24"/>
          <w:szCs w:val="24"/>
        </w:rPr>
        <w:t xml:space="preserve">See </w:t>
      </w:r>
      <w:r w:rsidR="008B1C4D" w:rsidRPr="009567DF">
        <w:rPr>
          <w:rFonts w:ascii="Times New Roman" w:hAnsi="Times New Roman" w:cs="Times New Roman"/>
          <w:sz w:val="24"/>
          <w:szCs w:val="24"/>
        </w:rPr>
        <w:t xml:space="preserve">Guide to NY Evid rule 8.00 </w:t>
      </w:r>
      <w:r w:rsidR="00C371A9" w:rsidRPr="009567DF">
        <w:rPr>
          <w:rFonts w:ascii="Times New Roman" w:hAnsi="Times New Roman" w:cs="Times New Roman"/>
          <w:sz w:val="24"/>
          <w:szCs w:val="24"/>
        </w:rPr>
        <w:t>[</w:t>
      </w:r>
      <w:r w:rsidR="008B1C4D" w:rsidRPr="009567DF">
        <w:rPr>
          <w:rFonts w:ascii="Times New Roman" w:hAnsi="Times New Roman" w:cs="Times New Roman"/>
          <w:sz w:val="24"/>
          <w:szCs w:val="24"/>
        </w:rPr>
        <w:t>1</w:t>
      </w:r>
      <w:r w:rsidR="00C371A9"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r w:rsidR="00C371A9" w:rsidRPr="009567DF">
        <w:rPr>
          <w:rFonts w:ascii="Times New Roman" w:hAnsi="Times New Roman" w:cs="Times New Roman"/>
          <w:sz w:val="24"/>
          <w:szCs w:val="24"/>
        </w:rPr>
        <w:t>[</w:t>
      </w:r>
      <w:r w:rsidR="008B1C4D" w:rsidRPr="009567DF">
        <w:rPr>
          <w:rFonts w:ascii="Times New Roman" w:hAnsi="Times New Roman" w:cs="Times New Roman"/>
          <w:sz w:val="24"/>
          <w:szCs w:val="24"/>
        </w:rPr>
        <w:t>“Hearsay is an out of court statement of a declarant offered in evidence to prove the truth of the matter asserted in the statement”</w:t>
      </w:r>
      <w:r w:rsidR="00C371A9"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p>
    <w:p w14:paraId="34353C68" w14:textId="77777777" w:rsidR="0020533C" w:rsidRPr="009567DF" w:rsidRDefault="0020533C" w:rsidP="0020533C">
      <w:pPr>
        <w:tabs>
          <w:tab w:val="left" w:pos="720"/>
          <w:tab w:val="left" w:pos="4140"/>
          <w:tab w:val="left" w:pos="7200"/>
        </w:tabs>
        <w:spacing w:after="0" w:line="240" w:lineRule="auto"/>
        <w:ind w:right="432"/>
        <w:jc w:val="both"/>
        <w:rPr>
          <w:rFonts w:ascii="Times New Roman" w:hAnsi="Times New Roman" w:cs="Times New Roman"/>
          <w:sz w:val="24"/>
          <w:szCs w:val="24"/>
        </w:rPr>
      </w:pPr>
    </w:p>
    <w:p w14:paraId="6F0D8DB2" w14:textId="4B5DED4A" w:rsidR="008B1C4D" w:rsidRPr="009567DF" w:rsidRDefault="007322CC" w:rsidP="007322CC">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The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xml:space="preserve"> view that “basis hearsay” is not offered for its truth</w:t>
      </w:r>
      <w:r w:rsidR="00C371A9"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 xml:space="preserve">has been rejected, most prominently by the United States Supreme Court in </w:t>
      </w:r>
      <w:r w:rsidR="008B1C4D" w:rsidRPr="009567DF">
        <w:rPr>
          <w:rFonts w:ascii="Times New Roman" w:hAnsi="Times New Roman" w:cs="Times New Roman"/>
          <w:i/>
          <w:iCs/>
          <w:sz w:val="24"/>
          <w:szCs w:val="24"/>
        </w:rPr>
        <w:t>Smith v Arizona</w:t>
      </w:r>
      <w:r w:rsidR="008B1C4D" w:rsidRPr="009567DF">
        <w:rPr>
          <w:rFonts w:ascii="Times New Roman" w:hAnsi="Times New Roman" w:cs="Times New Roman"/>
          <w:sz w:val="24"/>
          <w:szCs w:val="24"/>
        </w:rPr>
        <w:t xml:space="preserve"> </w:t>
      </w:r>
      <w:r w:rsidR="00C371A9" w:rsidRPr="009567DF">
        <w:rPr>
          <w:rFonts w:ascii="Times New Roman" w:hAnsi="Times New Roman" w:cs="Times New Roman"/>
          <w:sz w:val="24"/>
          <w:szCs w:val="24"/>
        </w:rPr>
        <w:t>(</w:t>
      </w:r>
      <w:r w:rsidR="008B1C4D" w:rsidRPr="009567DF">
        <w:rPr>
          <w:rFonts w:ascii="Times New Roman" w:hAnsi="Times New Roman" w:cs="Times New Roman"/>
          <w:sz w:val="24"/>
          <w:szCs w:val="24"/>
        </w:rPr>
        <w:t>602 US 77</w:t>
      </w:r>
      <w:r w:rsidR="00BC6043" w:rsidRPr="009567DF">
        <w:rPr>
          <w:rFonts w:ascii="Times New Roman" w:hAnsi="Times New Roman" w:cs="Times New Roman"/>
          <w:sz w:val="24"/>
          <w:szCs w:val="24"/>
        </w:rPr>
        <w:t>9</w:t>
      </w:r>
      <w:r w:rsidR="008B1C4D" w:rsidRPr="009567DF">
        <w:rPr>
          <w:rFonts w:ascii="Times New Roman" w:hAnsi="Times New Roman" w:cs="Times New Roman"/>
          <w:sz w:val="24"/>
          <w:szCs w:val="24"/>
        </w:rPr>
        <w:t xml:space="preserve"> </w:t>
      </w:r>
      <w:r w:rsidR="00C371A9" w:rsidRPr="009567DF">
        <w:rPr>
          <w:rFonts w:ascii="Times New Roman" w:hAnsi="Times New Roman" w:cs="Times New Roman"/>
          <w:sz w:val="24"/>
          <w:szCs w:val="24"/>
        </w:rPr>
        <w:t>[</w:t>
      </w:r>
      <w:r w:rsidR="008B1C4D" w:rsidRPr="009567DF">
        <w:rPr>
          <w:rFonts w:ascii="Times New Roman" w:hAnsi="Times New Roman" w:cs="Times New Roman"/>
          <w:sz w:val="24"/>
          <w:szCs w:val="24"/>
        </w:rPr>
        <w:t>2024</w:t>
      </w:r>
      <w:r w:rsidR="00C371A9"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r w:rsidR="00BC6043"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There, the </w:t>
      </w:r>
      <w:r w:rsidR="00C371A9" w:rsidRPr="009567DF">
        <w:rPr>
          <w:rFonts w:ascii="Times New Roman" w:hAnsi="Times New Roman" w:cs="Times New Roman"/>
          <w:sz w:val="24"/>
          <w:szCs w:val="24"/>
        </w:rPr>
        <w:t>C</w:t>
      </w:r>
      <w:r w:rsidR="008B1C4D" w:rsidRPr="009567DF">
        <w:rPr>
          <w:rFonts w:ascii="Times New Roman" w:hAnsi="Times New Roman" w:cs="Times New Roman"/>
          <w:sz w:val="24"/>
          <w:szCs w:val="24"/>
        </w:rPr>
        <w:t xml:space="preserve">ourt held that where an expert conveys an out-of-court statement in support of an opinion, and the statement supports the opinion </w:t>
      </w:r>
      <w:r w:rsidR="008B1C4D" w:rsidRPr="009567DF">
        <w:rPr>
          <w:rFonts w:ascii="Times New Roman" w:hAnsi="Times New Roman" w:cs="Times New Roman"/>
          <w:sz w:val="24"/>
          <w:szCs w:val="24"/>
        </w:rPr>
        <w:lastRenderedPageBreak/>
        <w:t xml:space="preserve">only if true, the statement </w:t>
      </w:r>
      <w:r w:rsidR="008B1C4D" w:rsidRPr="009567DF">
        <w:rPr>
          <w:rFonts w:ascii="Times New Roman" w:hAnsi="Times New Roman" w:cs="Times New Roman"/>
          <w:i/>
          <w:iCs/>
          <w:sz w:val="24"/>
          <w:szCs w:val="24"/>
        </w:rPr>
        <w:t xml:space="preserve">is </w:t>
      </w:r>
      <w:r w:rsidR="008B1C4D" w:rsidRPr="009567DF">
        <w:rPr>
          <w:rFonts w:ascii="Times New Roman" w:hAnsi="Times New Roman" w:cs="Times New Roman"/>
          <w:sz w:val="24"/>
          <w:szCs w:val="24"/>
        </w:rPr>
        <w:t>offered for its truth and</w:t>
      </w:r>
      <w:r w:rsidR="0005618C" w:rsidRPr="009567DF">
        <w:rPr>
          <w:rFonts w:ascii="Times New Roman" w:hAnsi="Times New Roman" w:cs="Times New Roman"/>
          <w:sz w:val="24"/>
          <w:szCs w:val="24"/>
        </w:rPr>
        <w:t xml:space="preserve"> is</w:t>
      </w:r>
      <w:r w:rsidR="008B1C4D" w:rsidRPr="009567DF">
        <w:rPr>
          <w:rFonts w:ascii="Times New Roman" w:hAnsi="Times New Roman" w:cs="Times New Roman"/>
          <w:sz w:val="24"/>
          <w:szCs w:val="24"/>
        </w:rPr>
        <w:t xml:space="preserve"> therefore testimonial under the </w:t>
      </w:r>
      <w:r w:rsidR="004C0CB2" w:rsidRPr="009567DF">
        <w:rPr>
          <w:rFonts w:ascii="Times New Roman" w:hAnsi="Times New Roman" w:cs="Times New Roman"/>
          <w:sz w:val="24"/>
          <w:szCs w:val="24"/>
        </w:rPr>
        <w:t>C</w:t>
      </w:r>
      <w:r w:rsidR="008B1C4D" w:rsidRPr="009567DF">
        <w:rPr>
          <w:rFonts w:ascii="Times New Roman" w:hAnsi="Times New Roman" w:cs="Times New Roman"/>
          <w:sz w:val="24"/>
          <w:szCs w:val="24"/>
        </w:rPr>
        <w:t xml:space="preserve">onfrontation </w:t>
      </w:r>
      <w:r w:rsidR="004C0CB2" w:rsidRPr="009567DF">
        <w:rPr>
          <w:rFonts w:ascii="Times New Roman" w:hAnsi="Times New Roman" w:cs="Times New Roman"/>
          <w:sz w:val="24"/>
          <w:szCs w:val="24"/>
        </w:rPr>
        <w:t>C</w:t>
      </w:r>
      <w:r w:rsidR="008B1C4D" w:rsidRPr="009567DF">
        <w:rPr>
          <w:rFonts w:ascii="Times New Roman" w:hAnsi="Times New Roman" w:cs="Times New Roman"/>
          <w:sz w:val="24"/>
          <w:szCs w:val="24"/>
        </w:rPr>
        <w:t>lause. (</w:t>
      </w:r>
      <w:r w:rsidR="008B1C4D" w:rsidRPr="009567DF">
        <w:rPr>
          <w:rFonts w:ascii="Times New Roman" w:hAnsi="Times New Roman" w:cs="Times New Roman"/>
          <w:i/>
          <w:iCs/>
          <w:sz w:val="24"/>
          <w:szCs w:val="24"/>
        </w:rPr>
        <w:t>Smith</w:t>
      </w:r>
      <w:r w:rsidR="008B1C4D" w:rsidRPr="009567DF">
        <w:rPr>
          <w:rFonts w:ascii="Times New Roman" w:hAnsi="Times New Roman" w:cs="Times New Roman"/>
          <w:sz w:val="24"/>
          <w:szCs w:val="24"/>
        </w:rPr>
        <w:t xml:space="preserve"> at 795 [“If an expert for the prosecution conveys an out-of-court statement in support of his opinion, and the statement supports that opinion only if true, then the statement has been offered for the truth of what it asserts. How could it be otherwise?”]</w:t>
      </w:r>
      <w:r w:rsidR="00BC6043"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p>
    <w:p w14:paraId="6AAA1671" w14:textId="77777777" w:rsidR="00D34B48" w:rsidRPr="009567DF" w:rsidRDefault="00D34B48" w:rsidP="0020533C">
      <w:pPr>
        <w:tabs>
          <w:tab w:val="left" w:pos="7200"/>
        </w:tabs>
        <w:spacing w:after="0" w:line="240" w:lineRule="auto"/>
        <w:ind w:right="432"/>
        <w:jc w:val="both"/>
        <w:rPr>
          <w:rFonts w:ascii="Times New Roman" w:hAnsi="Times New Roman" w:cs="Times New Roman"/>
          <w:sz w:val="24"/>
          <w:szCs w:val="24"/>
        </w:rPr>
      </w:pPr>
      <w:bookmarkStart w:id="0" w:name="_Hlk206685000"/>
    </w:p>
    <w:p w14:paraId="50FA8A80" w14:textId="0F6E8811" w:rsidR="00AD0C14" w:rsidRPr="009567DF" w:rsidRDefault="00D34B48" w:rsidP="00D34B48">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AD0C14" w:rsidRPr="009567DF">
        <w:rPr>
          <w:rFonts w:ascii="Times New Roman" w:hAnsi="Times New Roman" w:cs="Times New Roman"/>
          <w:sz w:val="24"/>
          <w:szCs w:val="24"/>
        </w:rPr>
        <w:t>Article 10</w:t>
      </w:r>
      <w:r w:rsidR="006373EA" w:rsidRPr="009567DF">
        <w:rPr>
          <w:rFonts w:ascii="Times New Roman" w:hAnsi="Times New Roman" w:cs="Times New Roman"/>
          <w:sz w:val="24"/>
          <w:szCs w:val="24"/>
        </w:rPr>
        <w:t xml:space="preserve"> proceedings</w:t>
      </w:r>
      <w:r w:rsidR="00AD0C14" w:rsidRPr="009567DF">
        <w:rPr>
          <w:rFonts w:ascii="Times New Roman" w:hAnsi="Times New Roman" w:cs="Times New Roman"/>
          <w:sz w:val="24"/>
          <w:szCs w:val="24"/>
        </w:rPr>
        <w:t>, however, ha</w:t>
      </w:r>
      <w:r w:rsidR="00F1576C" w:rsidRPr="009567DF">
        <w:rPr>
          <w:rFonts w:ascii="Times New Roman" w:hAnsi="Times New Roman" w:cs="Times New Roman"/>
          <w:sz w:val="24"/>
          <w:szCs w:val="24"/>
        </w:rPr>
        <w:t>ve</w:t>
      </w:r>
      <w:r w:rsidR="00AD0C14" w:rsidRPr="009567DF">
        <w:rPr>
          <w:rFonts w:ascii="Times New Roman" w:hAnsi="Times New Roman" w:cs="Times New Roman"/>
          <w:sz w:val="24"/>
          <w:szCs w:val="24"/>
        </w:rPr>
        <w:t xml:space="preserve"> been held not to be subject to the </w:t>
      </w:r>
      <w:r w:rsidR="004C0CB2" w:rsidRPr="009567DF">
        <w:rPr>
          <w:rFonts w:ascii="Times New Roman" w:hAnsi="Times New Roman" w:cs="Times New Roman"/>
          <w:sz w:val="24"/>
          <w:szCs w:val="24"/>
        </w:rPr>
        <w:t>C</w:t>
      </w:r>
      <w:r w:rsidR="00AD0C14" w:rsidRPr="009567DF">
        <w:rPr>
          <w:rFonts w:ascii="Times New Roman" w:hAnsi="Times New Roman" w:cs="Times New Roman"/>
          <w:sz w:val="24"/>
          <w:szCs w:val="24"/>
        </w:rPr>
        <w:t xml:space="preserve">onfrontation </w:t>
      </w:r>
      <w:r w:rsidR="004C0CB2" w:rsidRPr="009567DF">
        <w:rPr>
          <w:rFonts w:ascii="Times New Roman" w:hAnsi="Times New Roman" w:cs="Times New Roman"/>
          <w:sz w:val="24"/>
          <w:szCs w:val="24"/>
        </w:rPr>
        <w:t>C</w:t>
      </w:r>
      <w:r w:rsidR="00AD0C14" w:rsidRPr="009567DF">
        <w:rPr>
          <w:rFonts w:ascii="Times New Roman" w:hAnsi="Times New Roman" w:cs="Times New Roman"/>
          <w:sz w:val="24"/>
          <w:szCs w:val="24"/>
        </w:rPr>
        <w:t>lause because such proceedings are civil rather than criminal. (</w:t>
      </w:r>
      <w:r w:rsidR="00AD0C14" w:rsidRPr="009567DF">
        <w:rPr>
          <w:rFonts w:ascii="Times New Roman" w:hAnsi="Times New Roman" w:cs="Times New Roman"/>
          <w:i/>
          <w:iCs/>
          <w:sz w:val="24"/>
          <w:szCs w:val="24"/>
        </w:rPr>
        <w:t>Floyd Y.</w:t>
      </w:r>
      <w:r w:rsidR="00AD0C14" w:rsidRPr="009567DF">
        <w:rPr>
          <w:rFonts w:ascii="Times New Roman" w:hAnsi="Times New Roman" w:cs="Times New Roman"/>
          <w:sz w:val="24"/>
          <w:szCs w:val="24"/>
        </w:rPr>
        <w:t xml:space="preserve">, 22 NY3d at 103; </w:t>
      </w:r>
      <w:r w:rsidR="00AD0C14" w:rsidRPr="009567DF">
        <w:rPr>
          <w:rFonts w:ascii="Times New Roman" w:hAnsi="Times New Roman" w:cs="Times New Roman"/>
          <w:i/>
          <w:iCs/>
          <w:sz w:val="24"/>
          <w:szCs w:val="24"/>
        </w:rPr>
        <w:t>John S.</w:t>
      </w:r>
      <w:r w:rsidR="00AD0C14" w:rsidRPr="009567DF">
        <w:rPr>
          <w:rFonts w:ascii="Times New Roman" w:hAnsi="Times New Roman" w:cs="Times New Roman"/>
          <w:sz w:val="24"/>
          <w:szCs w:val="24"/>
        </w:rPr>
        <w:t>, 22 NY3d at 342</w:t>
      </w:r>
      <w:r w:rsidR="00BC6043" w:rsidRPr="009567DF">
        <w:rPr>
          <w:rFonts w:ascii="Times New Roman" w:hAnsi="Times New Roman" w:cs="Times New Roman"/>
          <w:sz w:val="24"/>
          <w:szCs w:val="24"/>
        </w:rPr>
        <w:t xml:space="preserve">; </w:t>
      </w:r>
      <w:r w:rsidR="00BC6043" w:rsidRPr="009567DF">
        <w:rPr>
          <w:rFonts w:ascii="Times New Roman" w:hAnsi="Times New Roman" w:cs="Times New Roman"/>
          <w:i/>
          <w:iCs/>
          <w:sz w:val="24"/>
          <w:szCs w:val="24"/>
        </w:rPr>
        <w:t>se</w:t>
      </w:r>
      <w:r w:rsidR="00AD0C14" w:rsidRPr="009567DF">
        <w:rPr>
          <w:rFonts w:ascii="Times New Roman" w:hAnsi="Times New Roman" w:cs="Times New Roman"/>
          <w:i/>
          <w:iCs/>
          <w:sz w:val="24"/>
          <w:szCs w:val="24"/>
        </w:rPr>
        <w:t>e Floyd Y.</w:t>
      </w:r>
      <w:r w:rsidR="00AD0C14" w:rsidRPr="009567DF">
        <w:rPr>
          <w:rFonts w:ascii="Times New Roman" w:hAnsi="Times New Roman" w:cs="Times New Roman"/>
          <w:sz w:val="24"/>
          <w:szCs w:val="24"/>
        </w:rPr>
        <w:t>, 22 NY3d at 111-112</w:t>
      </w:r>
      <w:r w:rsidR="00AD0C14" w:rsidRPr="009567DF">
        <w:rPr>
          <w:rFonts w:ascii="Times New Roman" w:hAnsi="Times New Roman" w:cs="Times New Roman"/>
          <w:i/>
          <w:iCs/>
          <w:sz w:val="24"/>
          <w:szCs w:val="24"/>
        </w:rPr>
        <w:t xml:space="preserve"> </w:t>
      </w:r>
      <w:r w:rsidR="00AD0C14" w:rsidRPr="009567DF">
        <w:rPr>
          <w:rFonts w:ascii="Times New Roman" w:hAnsi="Times New Roman" w:cs="Times New Roman"/>
          <w:sz w:val="24"/>
          <w:szCs w:val="24"/>
        </w:rPr>
        <w:t>[Smith, J.</w:t>
      </w:r>
      <w:r w:rsidR="00691A8E" w:rsidRPr="009567DF">
        <w:rPr>
          <w:rFonts w:ascii="Times New Roman" w:hAnsi="Times New Roman" w:cs="Times New Roman"/>
          <w:sz w:val="24"/>
          <w:szCs w:val="24"/>
        </w:rPr>
        <w:t>,</w:t>
      </w:r>
      <w:r w:rsidR="00AD0C14" w:rsidRPr="009567DF">
        <w:rPr>
          <w:rFonts w:ascii="Times New Roman" w:hAnsi="Times New Roman" w:cs="Times New Roman"/>
          <w:sz w:val="24"/>
          <w:szCs w:val="24"/>
        </w:rPr>
        <w:t xml:space="preserve"> concurring] [noting that in</w:t>
      </w:r>
      <w:r w:rsidR="00AD0C14" w:rsidRPr="009567DF">
        <w:rPr>
          <w:rFonts w:ascii="Times New Roman" w:hAnsi="Times New Roman" w:cs="Times New Roman"/>
          <w:i/>
          <w:iCs/>
          <w:sz w:val="24"/>
          <w:szCs w:val="24"/>
        </w:rPr>
        <w:t xml:space="preserve"> Goldstein </w:t>
      </w:r>
      <w:r w:rsidR="00AD0C14" w:rsidRPr="009567DF">
        <w:rPr>
          <w:rFonts w:ascii="Times New Roman" w:hAnsi="Times New Roman" w:cs="Times New Roman"/>
          <w:sz w:val="24"/>
          <w:szCs w:val="24"/>
        </w:rPr>
        <w:t>(6 NY3d 119): “</w:t>
      </w:r>
      <w:r w:rsidR="007B473C" w:rsidRPr="009567DF">
        <w:rPr>
          <w:rFonts w:ascii="Times New Roman" w:hAnsi="Times New Roman" w:cs="Times New Roman"/>
          <w:sz w:val="24"/>
          <w:szCs w:val="24"/>
        </w:rPr>
        <w:t>(</w:t>
      </w:r>
      <w:r w:rsidR="00AD0C14" w:rsidRPr="009567DF">
        <w:rPr>
          <w:rFonts w:ascii="Times New Roman" w:hAnsi="Times New Roman" w:cs="Times New Roman"/>
          <w:sz w:val="24"/>
          <w:szCs w:val="24"/>
        </w:rPr>
        <w:t>w</w:t>
      </w:r>
      <w:r w:rsidR="007B473C" w:rsidRPr="009567DF">
        <w:rPr>
          <w:rFonts w:ascii="Times New Roman" w:hAnsi="Times New Roman" w:cs="Times New Roman"/>
          <w:sz w:val="24"/>
          <w:szCs w:val="24"/>
        </w:rPr>
        <w:t>)</w:t>
      </w:r>
      <w:r w:rsidR="00AD0C14" w:rsidRPr="009567DF">
        <w:rPr>
          <w:rFonts w:ascii="Times New Roman" w:hAnsi="Times New Roman" w:cs="Times New Roman"/>
          <w:sz w:val="24"/>
          <w:szCs w:val="24"/>
        </w:rPr>
        <w:t>e rejected the People’s argument that the statements were not offered to prove the truth of what the interviewees said but only to help the jury in evaluating (the expert’s) opinion; we pointed out that the interviewees’ statements would have been of no use to the People unless the jury accepted them as true” (</w:t>
      </w:r>
      <w:r w:rsidR="007B473C" w:rsidRPr="009567DF">
        <w:rPr>
          <w:rFonts w:ascii="Times New Roman" w:hAnsi="Times New Roman" w:cs="Times New Roman"/>
          <w:sz w:val="24"/>
          <w:szCs w:val="24"/>
        </w:rPr>
        <w:t xml:space="preserve">internal </w:t>
      </w:r>
      <w:r w:rsidR="00AD0C14" w:rsidRPr="009567DF">
        <w:rPr>
          <w:rFonts w:ascii="Times New Roman" w:hAnsi="Times New Roman" w:cs="Times New Roman"/>
          <w:sz w:val="24"/>
          <w:szCs w:val="24"/>
        </w:rPr>
        <w:t>quotation</w:t>
      </w:r>
      <w:r w:rsidR="007B473C" w:rsidRPr="009567DF">
        <w:rPr>
          <w:rFonts w:ascii="Times New Roman" w:hAnsi="Times New Roman" w:cs="Times New Roman"/>
          <w:sz w:val="24"/>
          <w:szCs w:val="24"/>
        </w:rPr>
        <w:t xml:space="preserve"> marks and citation</w:t>
      </w:r>
      <w:r w:rsidR="00AD0C14" w:rsidRPr="009567DF">
        <w:rPr>
          <w:rFonts w:ascii="Times New Roman" w:hAnsi="Times New Roman" w:cs="Times New Roman"/>
          <w:sz w:val="24"/>
          <w:szCs w:val="24"/>
        </w:rPr>
        <w:t xml:space="preserve"> omitted)].</w:t>
      </w:r>
      <w:r w:rsidR="007B473C" w:rsidRPr="009567DF">
        <w:rPr>
          <w:rFonts w:ascii="Times New Roman" w:hAnsi="Times New Roman" w:cs="Times New Roman"/>
          <w:sz w:val="24"/>
          <w:szCs w:val="24"/>
        </w:rPr>
        <w:t>)</w:t>
      </w:r>
      <w:r w:rsidR="00AD0C14" w:rsidRPr="009567DF">
        <w:rPr>
          <w:rFonts w:ascii="Times New Roman" w:hAnsi="Times New Roman" w:cs="Times New Roman"/>
          <w:sz w:val="24"/>
          <w:szCs w:val="24"/>
        </w:rPr>
        <w:t xml:space="preserve"> Whether </w:t>
      </w:r>
      <w:r w:rsidR="00AD0C14" w:rsidRPr="009567DF">
        <w:rPr>
          <w:rFonts w:ascii="Times New Roman" w:hAnsi="Times New Roman" w:cs="Times New Roman"/>
          <w:i/>
          <w:iCs/>
          <w:sz w:val="24"/>
          <w:szCs w:val="24"/>
        </w:rPr>
        <w:t>Smith</w:t>
      </w:r>
      <w:r w:rsidR="00AD0C14" w:rsidRPr="009567DF">
        <w:rPr>
          <w:rFonts w:ascii="Times New Roman" w:hAnsi="Times New Roman" w:cs="Times New Roman"/>
          <w:sz w:val="24"/>
          <w:szCs w:val="24"/>
        </w:rPr>
        <w:t>’s (602 US 77</w:t>
      </w:r>
      <w:r w:rsidR="00B33185" w:rsidRPr="009567DF">
        <w:rPr>
          <w:rFonts w:ascii="Times New Roman" w:hAnsi="Times New Roman" w:cs="Times New Roman"/>
          <w:sz w:val="24"/>
          <w:szCs w:val="24"/>
        </w:rPr>
        <w:t>9</w:t>
      </w:r>
      <w:r w:rsidR="00AD0C14" w:rsidRPr="009567DF">
        <w:rPr>
          <w:rFonts w:ascii="Times New Roman" w:hAnsi="Times New Roman" w:cs="Times New Roman"/>
          <w:sz w:val="24"/>
          <w:szCs w:val="24"/>
        </w:rPr>
        <w:t xml:space="preserve">) rejection of the “not offered for its truth” rationale of </w:t>
      </w:r>
      <w:r w:rsidR="00AD0C14" w:rsidRPr="009567DF">
        <w:rPr>
          <w:rFonts w:ascii="Times New Roman" w:hAnsi="Times New Roman" w:cs="Times New Roman"/>
          <w:i/>
          <w:iCs/>
          <w:sz w:val="24"/>
          <w:szCs w:val="24"/>
        </w:rPr>
        <w:t xml:space="preserve">Floyd Y. </w:t>
      </w:r>
      <w:r w:rsidR="00AD0C14" w:rsidRPr="009567DF">
        <w:rPr>
          <w:rFonts w:ascii="Times New Roman" w:hAnsi="Times New Roman" w:cs="Times New Roman"/>
          <w:sz w:val="24"/>
          <w:szCs w:val="24"/>
        </w:rPr>
        <w:t xml:space="preserve">may undermine the decision’s continued validity remains to be seen. </w:t>
      </w:r>
      <w:r w:rsidR="00AD0C14" w:rsidRPr="009567DF">
        <w:rPr>
          <w:rFonts w:ascii="Times New Roman" w:hAnsi="Times New Roman" w:cs="Times New Roman"/>
          <w:i/>
          <w:iCs/>
          <w:sz w:val="24"/>
          <w:szCs w:val="24"/>
        </w:rPr>
        <w:t xml:space="preserve">Floyd Y. </w:t>
      </w:r>
      <w:r w:rsidR="00AD0C14" w:rsidRPr="009567DF">
        <w:rPr>
          <w:rFonts w:ascii="Times New Roman" w:hAnsi="Times New Roman" w:cs="Times New Roman"/>
          <w:sz w:val="24"/>
          <w:szCs w:val="24"/>
        </w:rPr>
        <w:t xml:space="preserve">was based on the </w:t>
      </w:r>
      <w:r w:rsidR="007B473C" w:rsidRPr="009567DF">
        <w:rPr>
          <w:rFonts w:ascii="Times New Roman" w:hAnsi="Times New Roman" w:cs="Times New Roman"/>
          <w:sz w:val="24"/>
          <w:szCs w:val="24"/>
        </w:rPr>
        <w:t>D</w:t>
      </w:r>
      <w:r w:rsidR="00AD0C14" w:rsidRPr="009567DF">
        <w:rPr>
          <w:rFonts w:ascii="Times New Roman" w:hAnsi="Times New Roman" w:cs="Times New Roman"/>
          <w:sz w:val="24"/>
          <w:szCs w:val="24"/>
        </w:rPr>
        <w:t>ue</w:t>
      </w:r>
      <w:r w:rsidR="007B473C" w:rsidRPr="009567DF">
        <w:rPr>
          <w:rFonts w:ascii="Times New Roman" w:hAnsi="Times New Roman" w:cs="Times New Roman"/>
          <w:sz w:val="24"/>
          <w:szCs w:val="24"/>
        </w:rPr>
        <w:t xml:space="preserve"> P</w:t>
      </w:r>
      <w:r w:rsidR="00AD0C14" w:rsidRPr="009567DF">
        <w:rPr>
          <w:rFonts w:ascii="Times New Roman" w:hAnsi="Times New Roman" w:cs="Times New Roman"/>
          <w:sz w:val="24"/>
          <w:szCs w:val="24"/>
        </w:rPr>
        <w:t xml:space="preserve">rocess </w:t>
      </w:r>
      <w:r w:rsidR="007B473C" w:rsidRPr="009567DF">
        <w:rPr>
          <w:rFonts w:ascii="Times New Roman" w:hAnsi="Times New Roman" w:cs="Times New Roman"/>
          <w:sz w:val="24"/>
          <w:szCs w:val="24"/>
        </w:rPr>
        <w:t>C</w:t>
      </w:r>
      <w:r w:rsidR="00AD0C14" w:rsidRPr="009567DF">
        <w:rPr>
          <w:rFonts w:ascii="Times New Roman" w:hAnsi="Times New Roman" w:cs="Times New Roman"/>
          <w:sz w:val="24"/>
          <w:szCs w:val="24"/>
        </w:rPr>
        <w:t xml:space="preserve">lauses of the Fifth and Fourteenth Amendments. The </w:t>
      </w:r>
      <w:r w:rsidR="00AD0C14" w:rsidRPr="009567DF">
        <w:rPr>
          <w:rFonts w:ascii="Times New Roman" w:hAnsi="Times New Roman" w:cs="Times New Roman"/>
          <w:i/>
          <w:iCs/>
          <w:sz w:val="24"/>
          <w:szCs w:val="24"/>
        </w:rPr>
        <w:t xml:space="preserve">Smith </w:t>
      </w:r>
      <w:r w:rsidR="00AD0C14" w:rsidRPr="009567DF">
        <w:rPr>
          <w:rFonts w:ascii="Times New Roman" w:hAnsi="Times New Roman" w:cs="Times New Roman"/>
          <w:sz w:val="24"/>
          <w:szCs w:val="24"/>
        </w:rPr>
        <w:t xml:space="preserve">holding concerned the Sixth Amendment’s </w:t>
      </w:r>
      <w:r w:rsidR="007B473C" w:rsidRPr="009567DF">
        <w:rPr>
          <w:rFonts w:ascii="Times New Roman" w:hAnsi="Times New Roman" w:cs="Times New Roman"/>
          <w:sz w:val="24"/>
          <w:szCs w:val="24"/>
        </w:rPr>
        <w:t>C</w:t>
      </w:r>
      <w:r w:rsidR="00AD0C14" w:rsidRPr="009567DF">
        <w:rPr>
          <w:rFonts w:ascii="Times New Roman" w:hAnsi="Times New Roman" w:cs="Times New Roman"/>
          <w:sz w:val="24"/>
          <w:szCs w:val="24"/>
        </w:rPr>
        <w:t xml:space="preserve">onfrontation </w:t>
      </w:r>
      <w:r w:rsidR="007B473C" w:rsidRPr="009567DF">
        <w:rPr>
          <w:rFonts w:ascii="Times New Roman" w:hAnsi="Times New Roman" w:cs="Times New Roman"/>
          <w:sz w:val="24"/>
          <w:szCs w:val="24"/>
        </w:rPr>
        <w:t>C</w:t>
      </w:r>
      <w:r w:rsidR="00AD0C14" w:rsidRPr="009567DF">
        <w:rPr>
          <w:rFonts w:ascii="Times New Roman" w:hAnsi="Times New Roman" w:cs="Times New Roman"/>
          <w:sz w:val="24"/>
          <w:szCs w:val="24"/>
        </w:rPr>
        <w:t>lause.</w:t>
      </w:r>
    </w:p>
    <w:p w14:paraId="5BE8237D" w14:textId="77777777" w:rsidR="00D34B48" w:rsidRPr="009567DF" w:rsidRDefault="00D34B48" w:rsidP="00D34B48">
      <w:pPr>
        <w:tabs>
          <w:tab w:val="left" w:pos="720"/>
        </w:tabs>
        <w:spacing w:after="0" w:line="240" w:lineRule="auto"/>
        <w:jc w:val="both"/>
        <w:rPr>
          <w:rFonts w:ascii="Times New Roman" w:hAnsi="Times New Roman" w:cs="Times New Roman"/>
          <w:sz w:val="24"/>
          <w:szCs w:val="24"/>
        </w:rPr>
      </w:pPr>
    </w:p>
    <w:bookmarkEnd w:id="0"/>
    <w:p w14:paraId="17EA994A" w14:textId="308FD5D9" w:rsidR="008B1C4D" w:rsidRPr="009567DF" w:rsidRDefault="00D34B48" w:rsidP="00D34B48">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concerned a jury trial. There are</w:t>
      </w:r>
      <w:r w:rsidR="0013694F" w:rsidRPr="009567DF">
        <w:rPr>
          <w:rFonts w:ascii="Times New Roman" w:hAnsi="Times New Roman" w:cs="Times New Roman"/>
          <w:sz w:val="24"/>
          <w:szCs w:val="24"/>
        </w:rPr>
        <w:t>, however,</w:t>
      </w:r>
      <w:r w:rsidR="008B1C4D" w:rsidRPr="009567DF">
        <w:rPr>
          <w:rFonts w:ascii="Times New Roman" w:hAnsi="Times New Roman" w:cs="Times New Roman"/>
          <w:sz w:val="24"/>
          <w:szCs w:val="24"/>
        </w:rPr>
        <w:t xml:space="preserve"> five additional kinds of evidentiary hearings conducted without juries which may occur in article 10 </w:t>
      </w:r>
      <w:r w:rsidR="00E714E5" w:rsidRPr="009567DF">
        <w:rPr>
          <w:rFonts w:ascii="Times New Roman" w:hAnsi="Times New Roman" w:cs="Times New Roman"/>
          <w:sz w:val="24"/>
          <w:szCs w:val="24"/>
        </w:rPr>
        <w:t>proceedings</w:t>
      </w:r>
      <w:r w:rsidR="00E76AE6"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 xml:space="preserve">Respondents also often opt for bench rather than jury trials. Multiple appellate courts have cited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 xml:space="preserve">in ruling on the admissibility of evidence during hearings without discussing whether the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holding is applicable to hearings in the same way as trials. (</w:t>
      </w:r>
      <w:r w:rsidR="008B1C4D" w:rsidRPr="009567DF">
        <w:rPr>
          <w:rFonts w:ascii="Times New Roman" w:hAnsi="Times New Roman" w:cs="Times New Roman"/>
          <w:i/>
          <w:iCs/>
          <w:sz w:val="24"/>
          <w:szCs w:val="24"/>
        </w:rPr>
        <w:t xml:space="preserve">See </w:t>
      </w:r>
      <w:r w:rsidR="00963C87" w:rsidRPr="009567DF">
        <w:rPr>
          <w:rFonts w:ascii="Times New Roman" w:hAnsi="Times New Roman" w:cs="Times New Roman"/>
          <w:i/>
          <w:iCs/>
          <w:sz w:val="24"/>
          <w:szCs w:val="24"/>
        </w:rPr>
        <w:t xml:space="preserve">Matter of </w:t>
      </w:r>
      <w:r w:rsidR="008B1C4D" w:rsidRPr="009567DF">
        <w:rPr>
          <w:rFonts w:ascii="Times New Roman" w:hAnsi="Times New Roman" w:cs="Times New Roman"/>
          <w:i/>
          <w:iCs/>
          <w:sz w:val="24"/>
          <w:szCs w:val="24"/>
        </w:rPr>
        <w:t>State</w:t>
      </w:r>
      <w:r w:rsidR="00963C87" w:rsidRPr="009567DF">
        <w:rPr>
          <w:rFonts w:ascii="Times New Roman" w:hAnsi="Times New Roman" w:cs="Times New Roman"/>
          <w:i/>
          <w:iCs/>
          <w:sz w:val="24"/>
          <w:szCs w:val="24"/>
        </w:rPr>
        <w:t xml:space="preserve"> of New York</w:t>
      </w:r>
      <w:r w:rsidR="008B1C4D" w:rsidRPr="009567DF">
        <w:rPr>
          <w:rFonts w:ascii="Times New Roman" w:hAnsi="Times New Roman" w:cs="Times New Roman"/>
          <w:i/>
          <w:iCs/>
          <w:sz w:val="24"/>
          <w:szCs w:val="24"/>
        </w:rPr>
        <w:t xml:space="preserve"> v Daniel J.</w:t>
      </w:r>
      <w:r w:rsidR="008B1C4D" w:rsidRPr="009567DF">
        <w:rPr>
          <w:rFonts w:ascii="Times New Roman" w:hAnsi="Times New Roman" w:cs="Times New Roman"/>
          <w:sz w:val="24"/>
          <w:szCs w:val="24"/>
        </w:rPr>
        <w:t xml:space="preserve">, 180 AD3d 1347, </w:t>
      </w:r>
      <w:r w:rsidR="00B33185" w:rsidRPr="009567DF">
        <w:rPr>
          <w:rFonts w:ascii="Times New Roman" w:hAnsi="Times New Roman" w:cs="Times New Roman"/>
          <w:sz w:val="24"/>
          <w:szCs w:val="24"/>
        </w:rPr>
        <w:t>1</w:t>
      </w:r>
      <w:r w:rsidR="008B1C4D" w:rsidRPr="009567DF">
        <w:rPr>
          <w:rFonts w:ascii="Times New Roman" w:hAnsi="Times New Roman" w:cs="Times New Roman"/>
          <w:sz w:val="24"/>
          <w:szCs w:val="24"/>
        </w:rPr>
        <w:t>348-1349 [4</w:t>
      </w:r>
      <w:r w:rsidR="00963C87"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2020] [applying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 xml:space="preserve">and its progeny to an initial dispositional hearing]; </w:t>
      </w:r>
      <w:r w:rsidR="008B1C4D" w:rsidRPr="009567DF">
        <w:rPr>
          <w:rFonts w:ascii="Times New Roman" w:hAnsi="Times New Roman" w:cs="Times New Roman"/>
          <w:i/>
          <w:iCs/>
          <w:sz w:val="24"/>
          <w:szCs w:val="24"/>
        </w:rPr>
        <w:t>Matter of State of New York v Geoffrey P.</w:t>
      </w:r>
      <w:r w:rsidR="00B66467" w:rsidRPr="009567DF">
        <w:rPr>
          <w:rFonts w:ascii="Times New Roman" w:hAnsi="Times New Roman" w:cs="Times New Roman"/>
          <w:sz w:val="24"/>
          <w:szCs w:val="24"/>
        </w:rPr>
        <w:t>,</w:t>
      </w:r>
      <w:r w:rsidR="008B1C4D" w:rsidRPr="009567DF">
        <w:rPr>
          <w:rFonts w:ascii="Times New Roman" w:hAnsi="Times New Roman" w:cs="Times New Roman"/>
          <w:i/>
          <w:iCs/>
          <w:sz w:val="24"/>
          <w:szCs w:val="24"/>
        </w:rPr>
        <w:t xml:space="preserve"> </w:t>
      </w:r>
      <w:r w:rsidR="008B1C4D" w:rsidRPr="009567DF">
        <w:rPr>
          <w:rFonts w:ascii="Times New Roman" w:hAnsi="Times New Roman" w:cs="Times New Roman"/>
          <w:sz w:val="24"/>
          <w:szCs w:val="24"/>
        </w:rPr>
        <w:t>196 AD3d 588 [2</w:t>
      </w:r>
      <w:r w:rsidR="00963C87" w:rsidRPr="009567DF">
        <w:rPr>
          <w:rFonts w:ascii="Times New Roman" w:hAnsi="Times New Roman" w:cs="Times New Roman"/>
          <w:sz w:val="24"/>
          <w:szCs w:val="24"/>
        </w:rPr>
        <w:t>d</w:t>
      </w:r>
      <w:r w:rsidR="008B1C4D" w:rsidRPr="009567DF">
        <w:rPr>
          <w:rFonts w:ascii="Times New Roman" w:hAnsi="Times New Roman" w:cs="Times New Roman"/>
          <w:sz w:val="24"/>
          <w:szCs w:val="24"/>
        </w:rPr>
        <w:t xml:space="preserve"> Dept 2021] [applying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 xml:space="preserve">to a hearing resulting in the revocation of the respondent’s placement on supervision and ordering confinement]; </w:t>
      </w:r>
      <w:r w:rsidR="008B1C4D" w:rsidRPr="009567DF">
        <w:rPr>
          <w:rFonts w:ascii="Times New Roman" w:hAnsi="Times New Roman" w:cs="Times New Roman"/>
          <w:i/>
          <w:iCs/>
          <w:sz w:val="24"/>
          <w:szCs w:val="24"/>
        </w:rPr>
        <w:t>Matter of Charles B. v State</w:t>
      </w:r>
      <w:r w:rsidR="00963C87" w:rsidRPr="009567DF">
        <w:rPr>
          <w:rFonts w:ascii="Times New Roman" w:hAnsi="Times New Roman" w:cs="Times New Roman"/>
          <w:i/>
          <w:iCs/>
          <w:sz w:val="24"/>
          <w:szCs w:val="24"/>
        </w:rPr>
        <w:t xml:space="preserve"> of New York</w:t>
      </w:r>
      <w:r w:rsidR="008B1C4D" w:rsidRPr="009567DF">
        <w:rPr>
          <w:rFonts w:ascii="Times New Roman" w:hAnsi="Times New Roman" w:cs="Times New Roman"/>
          <w:sz w:val="24"/>
          <w:szCs w:val="24"/>
        </w:rPr>
        <w:t>, 192 AD3d 1583 [4</w:t>
      </w:r>
      <w:r w:rsidR="00963C87"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2021</w:t>
      </w:r>
      <w:r w:rsidR="00283C24"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[applying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to evidence at an annual review hearing ordering continued confinement]</w:t>
      </w:r>
      <w:r w:rsidR="00963C87"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p>
    <w:p w14:paraId="03859313" w14:textId="77777777" w:rsidR="00C5072E" w:rsidRPr="009567DF" w:rsidRDefault="00C5072E" w:rsidP="00C5072E">
      <w:pPr>
        <w:tabs>
          <w:tab w:val="left" w:pos="7200"/>
        </w:tabs>
        <w:spacing w:after="0" w:line="240" w:lineRule="auto"/>
        <w:ind w:right="432"/>
        <w:jc w:val="both"/>
        <w:rPr>
          <w:rFonts w:ascii="Times New Roman" w:hAnsi="Times New Roman" w:cs="Times New Roman"/>
          <w:sz w:val="24"/>
          <w:szCs w:val="24"/>
        </w:rPr>
      </w:pPr>
    </w:p>
    <w:p w14:paraId="204EAB24" w14:textId="6810A103" w:rsidR="008B1C4D" w:rsidRPr="009567DF" w:rsidRDefault="00C5072E" w:rsidP="00C5072E">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On the other hand, it </w:t>
      </w:r>
      <w:r w:rsidR="007B1D96" w:rsidRPr="009567DF">
        <w:rPr>
          <w:rFonts w:ascii="Times New Roman" w:hAnsi="Times New Roman" w:cs="Times New Roman"/>
          <w:sz w:val="24"/>
          <w:szCs w:val="24"/>
        </w:rPr>
        <w:t>has</w:t>
      </w:r>
      <w:r w:rsidR="008B1C4D" w:rsidRPr="009567DF">
        <w:rPr>
          <w:rFonts w:ascii="Times New Roman" w:hAnsi="Times New Roman" w:cs="Times New Roman"/>
          <w:sz w:val="24"/>
          <w:szCs w:val="24"/>
        </w:rPr>
        <w:t xml:space="preserve"> been noted that an evaluation of the </w:t>
      </w:r>
      <w:r w:rsidR="008B1C4D" w:rsidRPr="009567DF">
        <w:rPr>
          <w:rFonts w:ascii="Times New Roman" w:hAnsi="Times New Roman" w:cs="Times New Roman"/>
          <w:i/>
          <w:iCs/>
          <w:sz w:val="24"/>
          <w:szCs w:val="24"/>
        </w:rPr>
        <w:t xml:space="preserve">Mathews v Eldridge </w:t>
      </w:r>
      <w:r w:rsidR="008B1C4D" w:rsidRPr="009567DF">
        <w:rPr>
          <w:rFonts w:ascii="Times New Roman" w:hAnsi="Times New Roman" w:cs="Times New Roman"/>
          <w:sz w:val="24"/>
          <w:szCs w:val="24"/>
        </w:rPr>
        <w:t>flexible due</w:t>
      </w:r>
      <w:r w:rsidR="00614BB5"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process analysis might lead to different rules for hearings than trials.</w:t>
      </w:r>
      <w:r w:rsidR="00735E16" w:rsidRPr="009567DF">
        <w:rPr>
          <w:rFonts w:ascii="Times New Roman" w:hAnsi="Times New Roman" w:cs="Times New Roman"/>
          <w:sz w:val="24"/>
          <w:szCs w:val="24"/>
        </w:rPr>
        <w:t xml:space="preserve"> (</w:t>
      </w:r>
      <w:r w:rsidR="008B1C4D" w:rsidRPr="009567DF">
        <w:rPr>
          <w:rFonts w:ascii="Times New Roman" w:hAnsi="Times New Roman" w:cs="Times New Roman"/>
          <w:i/>
          <w:iCs/>
          <w:sz w:val="24"/>
          <w:szCs w:val="24"/>
        </w:rPr>
        <w:t>See State of New York v Marcello A.</w:t>
      </w:r>
      <w:r w:rsidR="008B1C4D" w:rsidRPr="009567DF">
        <w:rPr>
          <w:rFonts w:ascii="Times New Roman" w:hAnsi="Times New Roman" w:cs="Times New Roman"/>
          <w:sz w:val="24"/>
          <w:szCs w:val="24"/>
        </w:rPr>
        <w:t>, 48 Misc</w:t>
      </w:r>
      <w:r w:rsidR="00735E16"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3d 635, 640-643 [Sup Ct, Suffolk County 2015] [applying a more permissive basis hearsay standard at a probable cause hearing than a trial]</w:t>
      </w:r>
      <w:r w:rsidR="00735E16"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r w:rsidR="00735E16" w:rsidRPr="009567DF">
        <w:rPr>
          <w:rFonts w:ascii="Times New Roman" w:hAnsi="Times New Roman" w:cs="Times New Roman"/>
          <w:i/>
          <w:iCs/>
          <w:sz w:val="24"/>
          <w:szCs w:val="24"/>
        </w:rPr>
        <w:t>s</w:t>
      </w:r>
      <w:r w:rsidR="008B1C4D" w:rsidRPr="009567DF">
        <w:rPr>
          <w:rFonts w:ascii="Times New Roman" w:hAnsi="Times New Roman" w:cs="Times New Roman"/>
          <w:i/>
          <w:iCs/>
          <w:sz w:val="24"/>
          <w:szCs w:val="24"/>
        </w:rPr>
        <w:t xml:space="preserve">ee </w:t>
      </w:r>
      <w:r w:rsidR="00735E16" w:rsidRPr="009567DF">
        <w:rPr>
          <w:rFonts w:ascii="Times New Roman" w:hAnsi="Times New Roman" w:cs="Times New Roman"/>
          <w:i/>
          <w:iCs/>
          <w:sz w:val="24"/>
          <w:szCs w:val="24"/>
        </w:rPr>
        <w:t xml:space="preserve">People ex rel. </w:t>
      </w:r>
      <w:r w:rsidR="008B1C4D" w:rsidRPr="009567DF">
        <w:rPr>
          <w:rFonts w:ascii="Times New Roman" w:hAnsi="Times New Roman" w:cs="Times New Roman"/>
          <w:i/>
          <w:iCs/>
          <w:sz w:val="24"/>
          <w:szCs w:val="24"/>
        </w:rPr>
        <w:t>Neville v Toulon</w:t>
      </w:r>
      <w:r w:rsidR="008B1C4D" w:rsidRPr="009567DF">
        <w:rPr>
          <w:rFonts w:ascii="Times New Roman" w:hAnsi="Times New Roman" w:cs="Times New Roman"/>
          <w:sz w:val="24"/>
          <w:szCs w:val="24"/>
        </w:rPr>
        <w:t>, 43 NY3d 1, 9 [2024] [where the Court continues to apply</w:t>
      </w:r>
      <w:r w:rsidR="00B77994"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 xml:space="preserve">the due process analysis set forth in </w:t>
      </w:r>
      <w:r w:rsidR="008B1C4D" w:rsidRPr="009567DF">
        <w:rPr>
          <w:rFonts w:ascii="Times New Roman" w:hAnsi="Times New Roman" w:cs="Times New Roman"/>
          <w:i/>
          <w:iCs/>
          <w:sz w:val="24"/>
          <w:szCs w:val="24"/>
        </w:rPr>
        <w:t xml:space="preserve">Mathews v Eldridge </w:t>
      </w:r>
      <w:r w:rsidR="008B1C4D" w:rsidRPr="009567DF">
        <w:rPr>
          <w:rFonts w:ascii="Times New Roman" w:hAnsi="Times New Roman" w:cs="Times New Roman"/>
          <w:sz w:val="24"/>
          <w:szCs w:val="24"/>
        </w:rPr>
        <w:t>to uphold the constitutionality of certain article 10 confinement procedures</w:t>
      </w:r>
      <w:r w:rsidR="00DA50DC" w:rsidRPr="009567DF">
        <w:rPr>
          <w:rFonts w:ascii="Times New Roman" w:hAnsi="Times New Roman" w:cs="Times New Roman"/>
          <w:sz w:val="24"/>
          <w:szCs w:val="24"/>
        </w:rPr>
        <w:t>]</w:t>
      </w:r>
      <w:r w:rsidR="00B77994" w:rsidRPr="009567DF">
        <w:rPr>
          <w:rFonts w:ascii="Times New Roman" w:hAnsi="Times New Roman" w:cs="Times New Roman"/>
          <w:sz w:val="24"/>
          <w:szCs w:val="24"/>
        </w:rPr>
        <w:t>.</w:t>
      </w:r>
      <w:r w:rsidR="00614BB5" w:rsidRPr="009567DF">
        <w:rPr>
          <w:rFonts w:ascii="Times New Roman" w:hAnsi="Times New Roman" w:cs="Times New Roman"/>
          <w:sz w:val="24"/>
          <w:szCs w:val="24"/>
        </w:rPr>
        <w:t>)</w:t>
      </w:r>
    </w:p>
    <w:p w14:paraId="61A65E9F" w14:textId="77777777" w:rsidR="002554F9" w:rsidRPr="009567DF" w:rsidRDefault="002554F9" w:rsidP="00C5072E">
      <w:pPr>
        <w:tabs>
          <w:tab w:val="left" w:pos="720"/>
        </w:tabs>
        <w:spacing w:after="0" w:line="240" w:lineRule="auto"/>
        <w:jc w:val="both"/>
        <w:rPr>
          <w:rFonts w:ascii="Times New Roman" w:hAnsi="Times New Roman" w:cs="Times New Roman"/>
          <w:sz w:val="24"/>
          <w:szCs w:val="24"/>
        </w:rPr>
      </w:pPr>
    </w:p>
    <w:p w14:paraId="2B19684A" w14:textId="49AA1047" w:rsidR="008B1C4D" w:rsidRPr="009567DF" w:rsidRDefault="002554F9" w:rsidP="002554F9">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Appellate courts </w:t>
      </w:r>
      <w:r w:rsidR="0060684F" w:rsidRPr="009567DF">
        <w:rPr>
          <w:rFonts w:ascii="Times New Roman" w:hAnsi="Times New Roman" w:cs="Times New Roman"/>
          <w:sz w:val="24"/>
          <w:szCs w:val="24"/>
        </w:rPr>
        <w:t xml:space="preserve">also </w:t>
      </w:r>
      <w:r w:rsidR="008B1C4D" w:rsidRPr="009567DF">
        <w:rPr>
          <w:rFonts w:ascii="Times New Roman" w:hAnsi="Times New Roman" w:cs="Times New Roman"/>
          <w:sz w:val="24"/>
          <w:szCs w:val="24"/>
        </w:rPr>
        <w:t>have given more deference to the consideration of “basis hearsay” by judges than juries. (</w:t>
      </w:r>
      <w:r w:rsidR="008B1C4D" w:rsidRPr="009567DF">
        <w:rPr>
          <w:rFonts w:ascii="Times New Roman" w:hAnsi="Times New Roman" w:cs="Times New Roman"/>
          <w:i/>
          <w:iCs/>
          <w:sz w:val="24"/>
          <w:szCs w:val="24"/>
        </w:rPr>
        <w:t>See Matter of Brooks v State</w:t>
      </w:r>
      <w:r w:rsidR="0074750A" w:rsidRPr="009567DF">
        <w:rPr>
          <w:rFonts w:ascii="Times New Roman" w:hAnsi="Times New Roman" w:cs="Times New Roman"/>
          <w:i/>
          <w:iCs/>
          <w:sz w:val="24"/>
          <w:szCs w:val="24"/>
        </w:rPr>
        <w:t xml:space="preserve"> of New York</w:t>
      </w:r>
      <w:r w:rsidR="008B1C4D" w:rsidRPr="009567DF">
        <w:rPr>
          <w:rFonts w:ascii="Times New Roman" w:hAnsi="Times New Roman" w:cs="Times New Roman"/>
          <w:sz w:val="24"/>
          <w:szCs w:val="24"/>
        </w:rPr>
        <w:t>, 120 AD3d 1577, 1578 [4</w:t>
      </w:r>
      <w:r w:rsidR="0074750A"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2014] [“Supreme Court is presumed to have properly given any hearsay statements limited legal significance in making its </w:t>
      </w:r>
      <w:r w:rsidR="008B1C4D" w:rsidRPr="009567DF">
        <w:rPr>
          <w:rFonts w:ascii="Times New Roman" w:hAnsi="Times New Roman" w:cs="Times New Roman"/>
          <w:sz w:val="24"/>
          <w:szCs w:val="24"/>
        </w:rPr>
        <w:lastRenderedPageBreak/>
        <w:t xml:space="preserve">determination”]; </w:t>
      </w:r>
      <w:r w:rsidR="008B1C4D" w:rsidRPr="009567DF">
        <w:rPr>
          <w:rFonts w:ascii="Times New Roman" w:hAnsi="Times New Roman" w:cs="Times New Roman"/>
          <w:i/>
          <w:iCs/>
          <w:sz w:val="24"/>
          <w:szCs w:val="24"/>
        </w:rPr>
        <w:t>Bass</w:t>
      </w:r>
      <w:r w:rsidR="008B1C4D" w:rsidRPr="009567DF">
        <w:rPr>
          <w:rFonts w:ascii="Times New Roman" w:hAnsi="Times New Roman" w:cs="Times New Roman"/>
          <w:sz w:val="24"/>
          <w:szCs w:val="24"/>
        </w:rPr>
        <w:t>, 119 AD3d at</w:t>
      </w:r>
      <w:r w:rsidR="0074750A"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1357 [“in this nonjury trial, the court is presumed to be able to distinguish between admissible evidence and inadmissible evidence and to abide by the limited purpose of hearsay evidence when admitted and to render a determination based on the former” (internal quotation</w:t>
      </w:r>
      <w:r w:rsidR="00374765" w:rsidRPr="009567DF">
        <w:rPr>
          <w:rFonts w:ascii="Times New Roman" w:hAnsi="Times New Roman" w:cs="Times New Roman"/>
          <w:sz w:val="24"/>
          <w:szCs w:val="24"/>
        </w:rPr>
        <w:t xml:space="preserve"> marks and brackets</w:t>
      </w:r>
      <w:r w:rsidR="008B1C4D" w:rsidRPr="009567DF">
        <w:rPr>
          <w:rFonts w:ascii="Times New Roman" w:hAnsi="Times New Roman" w:cs="Times New Roman"/>
          <w:sz w:val="24"/>
          <w:szCs w:val="24"/>
        </w:rPr>
        <w:t xml:space="preserve"> omitted)]; </w:t>
      </w:r>
      <w:r w:rsidR="008B1C4D" w:rsidRPr="009567DF">
        <w:rPr>
          <w:rFonts w:ascii="Times New Roman" w:hAnsi="Times New Roman" w:cs="Times New Roman"/>
          <w:i/>
          <w:iCs/>
          <w:sz w:val="24"/>
          <w:szCs w:val="24"/>
        </w:rPr>
        <w:t>Matter of State of New York v Armstrong</w:t>
      </w:r>
      <w:r w:rsidR="008B1C4D" w:rsidRPr="009567DF">
        <w:rPr>
          <w:rFonts w:ascii="Times New Roman" w:hAnsi="Times New Roman" w:cs="Times New Roman"/>
          <w:sz w:val="24"/>
          <w:szCs w:val="24"/>
        </w:rPr>
        <w:t>, 119 AD3d 1431, 1432 [4</w:t>
      </w:r>
      <w:r w:rsidR="00374765"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2014] [“the court is presumed to have properly given any hearsay statements therein their limited legal significance in making its factual findings”]</w:t>
      </w:r>
      <w:r w:rsidR="00374765" w:rsidRPr="009567DF">
        <w:rPr>
          <w:rFonts w:ascii="Times New Roman" w:hAnsi="Times New Roman" w:cs="Times New Roman"/>
          <w:sz w:val="24"/>
          <w:szCs w:val="24"/>
        </w:rPr>
        <w:t>.</w:t>
      </w:r>
      <w:r w:rsidR="008B1C4D" w:rsidRPr="009567DF">
        <w:rPr>
          <w:rFonts w:ascii="Times New Roman" w:hAnsi="Times New Roman" w:cs="Times New Roman"/>
          <w:sz w:val="24"/>
          <w:szCs w:val="24"/>
        </w:rPr>
        <w:t>)</w:t>
      </w:r>
    </w:p>
    <w:p w14:paraId="76961A90" w14:textId="77777777" w:rsidR="00531E50" w:rsidRPr="009567DF" w:rsidRDefault="00531E50" w:rsidP="002554F9">
      <w:pPr>
        <w:tabs>
          <w:tab w:val="left" w:pos="720"/>
        </w:tabs>
        <w:spacing w:after="0" w:line="240" w:lineRule="auto"/>
        <w:jc w:val="both"/>
        <w:rPr>
          <w:rFonts w:ascii="Times New Roman" w:hAnsi="Times New Roman" w:cs="Times New Roman"/>
          <w:sz w:val="24"/>
          <w:szCs w:val="24"/>
        </w:rPr>
      </w:pPr>
    </w:p>
    <w:p w14:paraId="1DA58FB4" w14:textId="190BA18D" w:rsidR="0094560C" w:rsidRPr="009567DF" w:rsidRDefault="00531E50" w:rsidP="00531E50">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The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 xml:space="preserve">rule has not been generally applied outside article 10 although analysis of </w:t>
      </w:r>
      <w:r w:rsidR="00C948D6" w:rsidRPr="009567DF">
        <w:rPr>
          <w:rFonts w:ascii="Times New Roman" w:hAnsi="Times New Roman" w:cs="Times New Roman"/>
          <w:sz w:val="24"/>
          <w:szCs w:val="24"/>
        </w:rPr>
        <w:t>its applicability in other civil contexts</w:t>
      </w:r>
      <w:r w:rsidR="008B1C4D" w:rsidRPr="009567DF">
        <w:rPr>
          <w:rFonts w:ascii="Times New Roman" w:hAnsi="Times New Roman" w:cs="Times New Roman"/>
          <w:sz w:val="24"/>
          <w:szCs w:val="24"/>
        </w:rPr>
        <w:t xml:space="preserve"> has been limited and inconsistent. The most thorough discussion by an appellate court came in a brief decision in a termination of parental rights case. (</w:t>
      </w:r>
      <w:r w:rsidR="008B1C4D" w:rsidRPr="009567DF">
        <w:rPr>
          <w:rFonts w:ascii="Times New Roman" w:hAnsi="Times New Roman" w:cs="Times New Roman"/>
          <w:i/>
          <w:iCs/>
          <w:sz w:val="24"/>
          <w:szCs w:val="24"/>
        </w:rPr>
        <w:t>Matter of Fredericka S.</w:t>
      </w:r>
      <w:r w:rsidR="00B33185" w:rsidRPr="009567DF">
        <w:rPr>
          <w:rFonts w:ascii="Times New Roman" w:hAnsi="Times New Roman" w:cs="Times New Roman"/>
          <w:i/>
          <w:iCs/>
          <w:sz w:val="24"/>
          <w:szCs w:val="24"/>
        </w:rPr>
        <w:t xml:space="preserve"> </w:t>
      </w:r>
      <w:r w:rsidR="0035339B" w:rsidRPr="009567DF">
        <w:rPr>
          <w:rFonts w:ascii="Times New Roman" w:hAnsi="Times New Roman" w:cs="Times New Roman"/>
          <w:i/>
          <w:iCs/>
          <w:sz w:val="24"/>
          <w:szCs w:val="24"/>
        </w:rPr>
        <w:t>[Jolanda S.]</w:t>
      </w:r>
      <w:r w:rsidR="008B1C4D" w:rsidRPr="009567DF">
        <w:rPr>
          <w:rFonts w:ascii="Times New Roman" w:hAnsi="Times New Roman" w:cs="Times New Roman"/>
          <w:sz w:val="24"/>
          <w:szCs w:val="24"/>
        </w:rPr>
        <w:t>, 176 AD3d 1624 [4</w:t>
      </w:r>
      <w:r w:rsidR="0035339B" w:rsidRPr="009567DF">
        <w:rPr>
          <w:rFonts w:ascii="Times New Roman" w:hAnsi="Times New Roman" w:cs="Times New Roman"/>
          <w:sz w:val="24"/>
          <w:szCs w:val="24"/>
        </w:rPr>
        <w:t>th</w:t>
      </w:r>
      <w:r w:rsidR="008B1C4D" w:rsidRPr="009567DF">
        <w:rPr>
          <w:rFonts w:ascii="Times New Roman" w:hAnsi="Times New Roman" w:cs="Times New Roman"/>
          <w:sz w:val="24"/>
          <w:szCs w:val="24"/>
        </w:rPr>
        <w:t xml:space="preserve"> Dept 2019]</w:t>
      </w:r>
      <w:r w:rsidR="0035339B"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There the </w:t>
      </w:r>
      <w:r w:rsidR="0035339B" w:rsidRPr="009567DF">
        <w:rPr>
          <w:rFonts w:ascii="Times New Roman" w:hAnsi="Times New Roman" w:cs="Times New Roman"/>
          <w:sz w:val="24"/>
          <w:szCs w:val="24"/>
        </w:rPr>
        <w:t>C</w:t>
      </w:r>
      <w:r w:rsidR="008B1C4D" w:rsidRPr="009567DF">
        <w:rPr>
          <w:rFonts w:ascii="Times New Roman" w:hAnsi="Times New Roman" w:cs="Times New Roman"/>
          <w:sz w:val="24"/>
          <w:szCs w:val="24"/>
        </w:rPr>
        <w:t>ourt held that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applies in a narrow context: the admission of hearsay evidence serving as the basis of an expert’s opinion at civil commitment hearings held pursuant to article 10</w:t>
      </w:r>
      <w:r w:rsidR="0035339B" w:rsidRPr="009567DF">
        <w:rPr>
          <w:rFonts w:ascii="Times New Roman" w:hAnsi="Times New Roman" w:cs="Times New Roman"/>
          <w:sz w:val="24"/>
          <w:szCs w:val="24"/>
        </w:rPr>
        <w:t>.</w:t>
      </w:r>
      <w:r w:rsidR="008B1C4D" w:rsidRPr="009567DF">
        <w:rPr>
          <w:rFonts w:ascii="Times New Roman" w:hAnsi="Times New Roman" w:cs="Times New Roman"/>
          <w:sz w:val="24"/>
          <w:szCs w:val="24"/>
        </w:rPr>
        <w:t>” (</w:t>
      </w:r>
      <w:r w:rsidR="0035339B" w:rsidRPr="009567DF">
        <w:rPr>
          <w:rFonts w:ascii="Times New Roman" w:hAnsi="Times New Roman" w:cs="Times New Roman"/>
          <w:i/>
          <w:iCs/>
          <w:sz w:val="24"/>
          <w:szCs w:val="24"/>
        </w:rPr>
        <w:t>Id.</w:t>
      </w:r>
      <w:r w:rsidR="0035339B" w:rsidRPr="009567DF">
        <w:rPr>
          <w:rFonts w:ascii="Times New Roman" w:hAnsi="Times New Roman" w:cs="Times New Roman"/>
          <w:sz w:val="24"/>
          <w:szCs w:val="24"/>
        </w:rPr>
        <w:t xml:space="preserve"> at 1625, </w:t>
      </w:r>
      <w:r w:rsidR="008B1C4D" w:rsidRPr="009567DF">
        <w:rPr>
          <w:rFonts w:ascii="Times New Roman" w:hAnsi="Times New Roman" w:cs="Times New Roman"/>
          <w:sz w:val="24"/>
          <w:szCs w:val="24"/>
        </w:rPr>
        <w:t xml:space="preserve">citing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 xml:space="preserve">) The </w:t>
      </w:r>
      <w:r w:rsidR="00780F3A" w:rsidRPr="009567DF">
        <w:rPr>
          <w:rFonts w:ascii="Times New Roman" w:hAnsi="Times New Roman" w:cs="Times New Roman"/>
          <w:sz w:val="24"/>
          <w:szCs w:val="24"/>
        </w:rPr>
        <w:t>C</w:t>
      </w:r>
      <w:r w:rsidR="008B1C4D" w:rsidRPr="009567DF">
        <w:rPr>
          <w:rFonts w:ascii="Times New Roman" w:hAnsi="Times New Roman" w:cs="Times New Roman"/>
          <w:sz w:val="24"/>
          <w:szCs w:val="24"/>
        </w:rPr>
        <w:t xml:space="preserve">ourt </w:t>
      </w:r>
      <w:r w:rsidR="003045D3" w:rsidRPr="009567DF">
        <w:rPr>
          <w:rFonts w:ascii="Times New Roman" w:hAnsi="Times New Roman" w:cs="Times New Roman"/>
          <w:sz w:val="24"/>
          <w:szCs w:val="24"/>
        </w:rPr>
        <w:t xml:space="preserve">concluded </w:t>
      </w:r>
      <w:r w:rsidR="008B1C4D" w:rsidRPr="009567DF">
        <w:rPr>
          <w:rFonts w:ascii="Times New Roman" w:hAnsi="Times New Roman" w:cs="Times New Roman"/>
          <w:sz w:val="24"/>
          <w:szCs w:val="24"/>
        </w:rPr>
        <w:t xml:space="preserve">that while the “professional reliability exception” to hearsay (i.e. allowing an expert to provide an opinion based on otherwise inadmissible hearsay) applied to non-article 10 cases, </w:t>
      </w:r>
      <w:r w:rsidR="008B1C4D" w:rsidRPr="009567DF">
        <w:rPr>
          <w:rFonts w:ascii="Times New Roman" w:hAnsi="Times New Roman" w:cs="Times New Roman"/>
          <w:i/>
          <w:iCs/>
          <w:sz w:val="24"/>
          <w:szCs w:val="24"/>
        </w:rPr>
        <w:t>Floyd Y</w:t>
      </w:r>
      <w:r w:rsidR="008B1C4D" w:rsidRPr="009567DF">
        <w:rPr>
          <w:rFonts w:ascii="Times New Roman" w:hAnsi="Times New Roman" w:cs="Times New Roman"/>
          <w:sz w:val="24"/>
          <w:szCs w:val="24"/>
        </w:rPr>
        <w:t>.’s additional requirements did not.</w:t>
      </w:r>
      <w:r w:rsidR="00780F3A" w:rsidRPr="009567DF">
        <w:rPr>
          <w:rFonts w:ascii="Times New Roman" w:hAnsi="Times New Roman" w:cs="Times New Roman"/>
          <w:sz w:val="24"/>
          <w:szCs w:val="24"/>
        </w:rPr>
        <w:t xml:space="preserve"> (</w:t>
      </w:r>
      <w:r w:rsidR="00780F3A" w:rsidRPr="009567DF">
        <w:rPr>
          <w:rFonts w:ascii="Times New Roman" w:hAnsi="Times New Roman" w:cs="Times New Roman"/>
          <w:i/>
          <w:iCs/>
          <w:sz w:val="24"/>
          <w:szCs w:val="24"/>
        </w:rPr>
        <w:t>Id.</w:t>
      </w:r>
      <w:r w:rsidR="00780F3A"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p>
    <w:p w14:paraId="10CE5897" w14:textId="77777777" w:rsidR="00AF3B0E" w:rsidRPr="009567DF" w:rsidRDefault="00AF3B0E" w:rsidP="00531E50">
      <w:pPr>
        <w:tabs>
          <w:tab w:val="left" w:pos="720"/>
        </w:tabs>
        <w:spacing w:after="0" w:line="240" w:lineRule="auto"/>
        <w:jc w:val="both"/>
        <w:rPr>
          <w:rFonts w:ascii="Times New Roman" w:hAnsi="Times New Roman" w:cs="Times New Roman"/>
          <w:sz w:val="24"/>
          <w:szCs w:val="24"/>
        </w:rPr>
      </w:pPr>
    </w:p>
    <w:p w14:paraId="72E8EA47" w14:textId="77777777" w:rsidR="0094560C" w:rsidRPr="009567DF" w:rsidRDefault="0094560C" w:rsidP="00531E50">
      <w:pPr>
        <w:tabs>
          <w:tab w:val="left" w:pos="720"/>
        </w:tabs>
        <w:spacing w:after="0" w:line="240" w:lineRule="auto"/>
        <w:jc w:val="both"/>
        <w:rPr>
          <w:rFonts w:ascii="Times New Roman" w:hAnsi="Times New Roman" w:cs="Times New Roman"/>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In </w:t>
      </w:r>
      <w:r w:rsidR="008B1C4D" w:rsidRPr="009567DF">
        <w:rPr>
          <w:rFonts w:ascii="Times New Roman" w:hAnsi="Times New Roman" w:cs="Times New Roman"/>
          <w:i/>
          <w:iCs/>
          <w:sz w:val="24"/>
          <w:szCs w:val="24"/>
        </w:rPr>
        <w:t>People v Howard</w:t>
      </w:r>
      <w:r w:rsidR="008B1C4D" w:rsidRPr="009567DF">
        <w:rPr>
          <w:rFonts w:ascii="Times New Roman" w:hAnsi="Times New Roman" w:cs="Times New Roman"/>
          <w:sz w:val="24"/>
          <w:szCs w:val="24"/>
        </w:rPr>
        <w:t xml:space="preserve"> </w:t>
      </w:r>
      <w:r w:rsidR="004F08EF" w:rsidRPr="009567DF">
        <w:rPr>
          <w:rFonts w:ascii="Times New Roman" w:hAnsi="Times New Roman" w:cs="Times New Roman"/>
          <w:sz w:val="24"/>
          <w:szCs w:val="24"/>
        </w:rPr>
        <w:t>(</w:t>
      </w:r>
      <w:r w:rsidR="008B1C4D" w:rsidRPr="009567DF">
        <w:rPr>
          <w:rFonts w:ascii="Times New Roman" w:hAnsi="Times New Roman" w:cs="Times New Roman"/>
          <w:sz w:val="24"/>
          <w:szCs w:val="24"/>
        </w:rPr>
        <w:t>134 AD3d 1153 [3</w:t>
      </w:r>
      <w:r w:rsidR="004F08EF" w:rsidRPr="009567DF">
        <w:rPr>
          <w:rFonts w:ascii="Times New Roman" w:hAnsi="Times New Roman" w:cs="Times New Roman"/>
          <w:sz w:val="24"/>
          <w:szCs w:val="24"/>
        </w:rPr>
        <w:t>d</w:t>
      </w:r>
      <w:r w:rsidR="008B1C4D" w:rsidRPr="009567DF">
        <w:rPr>
          <w:rFonts w:ascii="Times New Roman" w:hAnsi="Times New Roman" w:cs="Times New Roman"/>
          <w:sz w:val="24"/>
          <w:szCs w:val="24"/>
        </w:rPr>
        <w:t xml:space="preserve"> Dept 2015]</w:t>
      </w:r>
      <w:r w:rsidR="004F08EF"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the </w:t>
      </w:r>
      <w:r w:rsidR="004F08EF" w:rsidRPr="009567DF">
        <w:rPr>
          <w:rFonts w:ascii="Times New Roman" w:hAnsi="Times New Roman" w:cs="Times New Roman"/>
          <w:sz w:val="24"/>
          <w:szCs w:val="24"/>
        </w:rPr>
        <w:t>C</w:t>
      </w:r>
      <w:r w:rsidR="008B1C4D" w:rsidRPr="009567DF">
        <w:rPr>
          <w:rFonts w:ascii="Times New Roman" w:hAnsi="Times New Roman" w:cs="Times New Roman"/>
          <w:sz w:val="24"/>
          <w:szCs w:val="24"/>
        </w:rPr>
        <w:t xml:space="preserve">ourt combined the “professional reliance” and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 xml:space="preserve">hearsay repetition rules to conclude that an insurance investigator could repeat statements from interviews about the causes of a fire in an arson case. </w:t>
      </w:r>
    </w:p>
    <w:p w14:paraId="68EBCD52" w14:textId="77777777" w:rsidR="00AF3B0E" w:rsidRPr="009567DF" w:rsidRDefault="00AF3B0E" w:rsidP="00531E50">
      <w:pPr>
        <w:tabs>
          <w:tab w:val="left" w:pos="720"/>
        </w:tabs>
        <w:spacing w:after="0" w:line="240" w:lineRule="auto"/>
        <w:jc w:val="both"/>
        <w:rPr>
          <w:rFonts w:ascii="Times New Roman" w:hAnsi="Times New Roman" w:cs="Times New Roman"/>
          <w:sz w:val="24"/>
          <w:szCs w:val="24"/>
        </w:rPr>
      </w:pPr>
    </w:p>
    <w:p w14:paraId="2E21C651" w14:textId="6E416F25" w:rsidR="008B1C4D" w:rsidRPr="009567DF" w:rsidRDefault="0094560C" w:rsidP="00531E50">
      <w:pPr>
        <w:tabs>
          <w:tab w:val="left" w:pos="720"/>
        </w:tabs>
        <w:spacing w:after="0" w:line="240" w:lineRule="auto"/>
        <w:jc w:val="both"/>
        <w:rPr>
          <w:rFonts w:ascii="Times New Roman" w:hAnsi="Times New Roman" w:cs="Times New Roman"/>
          <w:i/>
          <w:iCs/>
          <w:sz w:val="24"/>
          <w:szCs w:val="24"/>
        </w:rPr>
      </w:pPr>
      <w:r w:rsidRPr="009567DF">
        <w:rPr>
          <w:rFonts w:ascii="Times New Roman" w:hAnsi="Times New Roman" w:cs="Times New Roman"/>
          <w:sz w:val="24"/>
          <w:szCs w:val="24"/>
        </w:rPr>
        <w:tab/>
      </w:r>
      <w:r w:rsidR="008B1C4D" w:rsidRPr="009567DF">
        <w:rPr>
          <w:rFonts w:ascii="Times New Roman" w:hAnsi="Times New Roman" w:cs="Times New Roman"/>
          <w:sz w:val="24"/>
          <w:szCs w:val="24"/>
        </w:rPr>
        <w:t xml:space="preserve">In </w:t>
      </w:r>
      <w:r w:rsidR="008B1C4D" w:rsidRPr="009567DF">
        <w:rPr>
          <w:rFonts w:ascii="Times New Roman" w:hAnsi="Times New Roman" w:cs="Times New Roman"/>
          <w:i/>
          <w:iCs/>
          <w:sz w:val="24"/>
          <w:szCs w:val="24"/>
        </w:rPr>
        <w:t>People v Paul</w:t>
      </w:r>
      <w:r w:rsidR="008B1C4D" w:rsidRPr="009567DF">
        <w:rPr>
          <w:rFonts w:ascii="Times New Roman" w:hAnsi="Times New Roman" w:cs="Times New Roman"/>
          <w:sz w:val="24"/>
          <w:szCs w:val="24"/>
        </w:rPr>
        <w:t xml:space="preserve"> </w:t>
      </w:r>
      <w:r w:rsidR="004F08EF" w:rsidRPr="009567DF">
        <w:rPr>
          <w:rFonts w:ascii="Times New Roman" w:hAnsi="Times New Roman" w:cs="Times New Roman"/>
          <w:sz w:val="24"/>
          <w:szCs w:val="24"/>
        </w:rPr>
        <w:t>(</w:t>
      </w:r>
      <w:r w:rsidR="008B1C4D" w:rsidRPr="009567DF">
        <w:rPr>
          <w:rFonts w:ascii="Times New Roman" w:hAnsi="Times New Roman" w:cs="Times New Roman"/>
          <w:sz w:val="24"/>
          <w:szCs w:val="24"/>
        </w:rPr>
        <w:t>137 AD3d 1169 [2</w:t>
      </w:r>
      <w:r w:rsidR="004F08EF" w:rsidRPr="009567DF">
        <w:rPr>
          <w:rFonts w:ascii="Times New Roman" w:hAnsi="Times New Roman" w:cs="Times New Roman"/>
          <w:sz w:val="24"/>
          <w:szCs w:val="24"/>
        </w:rPr>
        <w:t>d</w:t>
      </w:r>
      <w:r w:rsidR="008B1C4D" w:rsidRPr="009567DF">
        <w:rPr>
          <w:rFonts w:ascii="Times New Roman" w:hAnsi="Times New Roman" w:cs="Times New Roman"/>
          <w:sz w:val="24"/>
          <w:szCs w:val="24"/>
        </w:rPr>
        <w:t xml:space="preserve"> Dept 2016]</w:t>
      </w:r>
      <w:r w:rsidR="00A57F78"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the </w:t>
      </w:r>
      <w:r w:rsidR="001F49F7" w:rsidRPr="009567DF">
        <w:rPr>
          <w:rFonts w:ascii="Times New Roman" w:hAnsi="Times New Roman" w:cs="Times New Roman"/>
          <w:sz w:val="24"/>
          <w:szCs w:val="24"/>
        </w:rPr>
        <w:t>C</w:t>
      </w:r>
      <w:r w:rsidR="008B1C4D" w:rsidRPr="009567DF">
        <w:rPr>
          <w:rFonts w:ascii="Times New Roman" w:hAnsi="Times New Roman" w:cs="Times New Roman"/>
          <w:sz w:val="24"/>
          <w:szCs w:val="24"/>
        </w:rPr>
        <w:t>ourt held that</w:t>
      </w:r>
      <w:r w:rsidR="00716126"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expert testimony about facts and opinions of the defendant’s therapist concerning the victim’s conduct w</w:t>
      </w:r>
      <w:r w:rsidR="001F49F7" w:rsidRPr="009567DF">
        <w:rPr>
          <w:rFonts w:ascii="Times New Roman" w:hAnsi="Times New Roman" w:cs="Times New Roman"/>
          <w:sz w:val="24"/>
          <w:szCs w:val="24"/>
        </w:rPr>
        <w:t>as</w:t>
      </w:r>
      <w:r w:rsidR="008B1C4D" w:rsidRPr="009567DF">
        <w:rPr>
          <w:rFonts w:ascii="Times New Roman" w:hAnsi="Times New Roman" w:cs="Times New Roman"/>
          <w:sz w:val="24"/>
          <w:szCs w:val="24"/>
        </w:rPr>
        <w:t xml:space="preserve"> properly precluded as falling outside a basis hearsay exception, citing </w:t>
      </w:r>
      <w:r w:rsidR="008B1C4D" w:rsidRPr="009567DF">
        <w:rPr>
          <w:rFonts w:ascii="Times New Roman" w:hAnsi="Times New Roman" w:cs="Times New Roman"/>
          <w:i/>
          <w:iCs/>
          <w:sz w:val="24"/>
          <w:szCs w:val="24"/>
        </w:rPr>
        <w:t>Goldstein</w:t>
      </w:r>
      <w:r w:rsidR="008B1C4D" w:rsidRPr="009567DF">
        <w:rPr>
          <w:rFonts w:ascii="Times New Roman" w:hAnsi="Times New Roman" w:cs="Times New Roman"/>
          <w:sz w:val="24"/>
          <w:szCs w:val="24"/>
        </w:rPr>
        <w:t>,</w:t>
      </w:r>
      <w:r w:rsidR="008B1C4D" w:rsidRPr="009567DF">
        <w:rPr>
          <w:rFonts w:ascii="Times New Roman" w:hAnsi="Times New Roman" w:cs="Times New Roman"/>
          <w:i/>
          <w:iCs/>
          <w:sz w:val="24"/>
          <w:szCs w:val="24"/>
        </w:rPr>
        <w:t xml:space="preserve"> Floyd Y.</w:t>
      </w:r>
      <w:r w:rsidR="008B1C4D" w:rsidRPr="009567DF">
        <w:rPr>
          <w:rFonts w:ascii="Times New Roman" w:hAnsi="Times New Roman" w:cs="Times New Roman"/>
          <w:sz w:val="24"/>
          <w:szCs w:val="24"/>
        </w:rPr>
        <w:t xml:space="preserve"> and </w:t>
      </w:r>
      <w:r w:rsidR="008B1C4D" w:rsidRPr="009567DF">
        <w:rPr>
          <w:rFonts w:ascii="Times New Roman" w:hAnsi="Times New Roman" w:cs="Times New Roman"/>
          <w:i/>
          <w:iCs/>
          <w:sz w:val="24"/>
          <w:szCs w:val="24"/>
        </w:rPr>
        <w:t>People v Sugden</w:t>
      </w:r>
      <w:r w:rsidR="008B1C4D" w:rsidRPr="009567DF">
        <w:rPr>
          <w:rFonts w:ascii="Times New Roman" w:hAnsi="Times New Roman" w:cs="Times New Roman"/>
          <w:sz w:val="24"/>
          <w:szCs w:val="24"/>
        </w:rPr>
        <w:t xml:space="preserve"> </w:t>
      </w:r>
      <w:r w:rsidR="001F49F7" w:rsidRPr="009567DF">
        <w:rPr>
          <w:rFonts w:ascii="Times New Roman" w:hAnsi="Times New Roman" w:cs="Times New Roman"/>
          <w:sz w:val="24"/>
          <w:szCs w:val="24"/>
        </w:rPr>
        <w:t>(</w:t>
      </w:r>
      <w:r w:rsidR="008B1C4D" w:rsidRPr="009567DF">
        <w:rPr>
          <w:rFonts w:ascii="Times New Roman" w:hAnsi="Times New Roman" w:cs="Times New Roman"/>
          <w:sz w:val="24"/>
          <w:szCs w:val="24"/>
        </w:rPr>
        <w:t>35 NY2d 453, 460-461 [1974]</w:t>
      </w:r>
      <w:r w:rsidR="001F49F7" w:rsidRPr="009567DF">
        <w:rPr>
          <w:rFonts w:ascii="Times New Roman" w:hAnsi="Times New Roman" w:cs="Times New Roman"/>
          <w:sz w:val="24"/>
          <w:szCs w:val="24"/>
        </w:rPr>
        <w:t>)</w:t>
      </w:r>
      <w:r w:rsidR="008B1C4D" w:rsidRPr="009567DF">
        <w:rPr>
          <w:rFonts w:ascii="Times New Roman" w:hAnsi="Times New Roman" w:cs="Times New Roman"/>
          <w:sz w:val="24"/>
          <w:szCs w:val="24"/>
        </w:rPr>
        <w:t>. (</w:t>
      </w:r>
      <w:r w:rsidR="008B1C4D" w:rsidRPr="009567DF">
        <w:rPr>
          <w:rFonts w:ascii="Times New Roman" w:hAnsi="Times New Roman" w:cs="Times New Roman"/>
          <w:i/>
          <w:iCs/>
          <w:sz w:val="24"/>
          <w:szCs w:val="24"/>
        </w:rPr>
        <w:t>See Matter of</w:t>
      </w:r>
      <w:r w:rsidR="00D041F4" w:rsidRPr="009567DF">
        <w:rPr>
          <w:rFonts w:ascii="Times New Roman" w:hAnsi="Times New Roman" w:cs="Times New Roman"/>
          <w:i/>
          <w:iCs/>
          <w:sz w:val="24"/>
          <w:szCs w:val="24"/>
        </w:rPr>
        <w:t xml:space="preserve"> </w:t>
      </w:r>
      <w:r w:rsidR="008B1C4D" w:rsidRPr="009567DF">
        <w:rPr>
          <w:rFonts w:ascii="Times New Roman" w:hAnsi="Times New Roman" w:cs="Times New Roman"/>
          <w:i/>
          <w:iCs/>
          <w:sz w:val="24"/>
          <w:szCs w:val="24"/>
        </w:rPr>
        <w:t>J.W.,</w:t>
      </w:r>
      <w:r w:rsidR="008B1C4D" w:rsidRPr="009567DF">
        <w:rPr>
          <w:rFonts w:ascii="Times New Roman" w:hAnsi="Times New Roman" w:cs="Times New Roman"/>
          <w:sz w:val="24"/>
          <w:szCs w:val="24"/>
        </w:rPr>
        <w:t xml:space="preserve"> 4</w:t>
      </w:r>
      <w:r w:rsidR="00D041F4" w:rsidRPr="009567DF">
        <w:rPr>
          <w:rFonts w:ascii="Times New Roman" w:hAnsi="Times New Roman" w:cs="Times New Roman"/>
          <w:sz w:val="24"/>
          <w:szCs w:val="24"/>
        </w:rPr>
        <w:t>5</w:t>
      </w:r>
      <w:r w:rsidR="008B1C4D" w:rsidRPr="009567DF">
        <w:rPr>
          <w:rFonts w:ascii="Times New Roman" w:hAnsi="Times New Roman" w:cs="Times New Roman"/>
          <w:sz w:val="24"/>
          <w:szCs w:val="24"/>
        </w:rPr>
        <w:t xml:space="preserve"> Misc</w:t>
      </w:r>
      <w:r w:rsidR="001F49F7"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3d 933, 942 [</w:t>
      </w:r>
      <w:r w:rsidR="00D041F4" w:rsidRPr="009567DF">
        <w:rPr>
          <w:rFonts w:ascii="Times New Roman" w:hAnsi="Times New Roman" w:cs="Times New Roman"/>
          <w:sz w:val="24"/>
          <w:szCs w:val="24"/>
        </w:rPr>
        <w:t xml:space="preserve">Sup Ct, </w:t>
      </w:r>
      <w:r w:rsidR="008B1C4D" w:rsidRPr="009567DF">
        <w:rPr>
          <w:rFonts w:ascii="Times New Roman" w:hAnsi="Times New Roman" w:cs="Times New Roman"/>
          <w:sz w:val="24"/>
          <w:szCs w:val="24"/>
        </w:rPr>
        <w:t>Monroe County</w:t>
      </w:r>
      <w:r w:rsidR="00D041F4" w:rsidRPr="009567DF">
        <w:rPr>
          <w:rFonts w:ascii="Times New Roman" w:hAnsi="Times New Roman" w:cs="Times New Roman"/>
          <w:sz w:val="24"/>
          <w:szCs w:val="24"/>
        </w:rPr>
        <w:t xml:space="preserve"> </w:t>
      </w:r>
      <w:r w:rsidR="008B1C4D" w:rsidRPr="009567DF">
        <w:rPr>
          <w:rFonts w:ascii="Times New Roman" w:hAnsi="Times New Roman" w:cs="Times New Roman"/>
          <w:sz w:val="24"/>
          <w:szCs w:val="24"/>
        </w:rPr>
        <w:t xml:space="preserve">2014] [applying </w:t>
      </w:r>
      <w:r w:rsidR="008B1C4D" w:rsidRPr="009567DF">
        <w:rPr>
          <w:rFonts w:ascii="Times New Roman" w:hAnsi="Times New Roman" w:cs="Times New Roman"/>
          <w:i/>
          <w:iCs/>
          <w:sz w:val="24"/>
          <w:szCs w:val="24"/>
        </w:rPr>
        <w:t xml:space="preserve">Floyd Y. </w:t>
      </w:r>
      <w:r w:rsidR="008B1C4D" w:rsidRPr="009567DF">
        <w:rPr>
          <w:rFonts w:ascii="Times New Roman" w:hAnsi="Times New Roman" w:cs="Times New Roman"/>
          <w:sz w:val="24"/>
          <w:szCs w:val="24"/>
        </w:rPr>
        <w:t>to preclude evidence in an application by a psychiatric center to involuntarily medicate a patient calling the case a “comparable proceeding” to article 10]</w:t>
      </w:r>
      <w:r w:rsidR="00D041F4" w:rsidRPr="009567DF">
        <w:rPr>
          <w:rFonts w:ascii="Times New Roman" w:hAnsi="Times New Roman" w:cs="Times New Roman"/>
          <w:sz w:val="24"/>
          <w:szCs w:val="24"/>
        </w:rPr>
        <w:t>.</w:t>
      </w:r>
      <w:r w:rsidR="008B1C4D" w:rsidRPr="009567DF">
        <w:rPr>
          <w:rFonts w:ascii="Times New Roman" w:hAnsi="Times New Roman" w:cs="Times New Roman"/>
          <w:sz w:val="24"/>
          <w:szCs w:val="24"/>
        </w:rPr>
        <w:t xml:space="preserve">) </w:t>
      </w:r>
    </w:p>
    <w:p w14:paraId="5E5A6902" w14:textId="77777777" w:rsidR="0013534E" w:rsidRPr="009567DF" w:rsidRDefault="0013534E" w:rsidP="0020533C">
      <w:pPr>
        <w:tabs>
          <w:tab w:val="left" w:pos="7200"/>
        </w:tabs>
        <w:spacing w:after="0" w:line="240" w:lineRule="auto"/>
        <w:rPr>
          <w:rFonts w:ascii="Times New Roman" w:hAnsi="Times New Roman" w:cs="Times New Roman"/>
          <w:sz w:val="24"/>
          <w:szCs w:val="24"/>
        </w:rPr>
      </w:pPr>
    </w:p>
    <w:sectPr w:rsidR="0013534E" w:rsidRPr="009567DF" w:rsidSect="00B70DFA">
      <w:footerReference w:type="default" r:id="rId7"/>
      <w:pgSz w:w="12240" w:h="15840" w:code="1"/>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3B70" w14:textId="77777777" w:rsidR="00EC5471" w:rsidRDefault="00EC5471" w:rsidP="00B77994">
      <w:pPr>
        <w:spacing w:after="0" w:line="240" w:lineRule="auto"/>
      </w:pPr>
      <w:r>
        <w:separator/>
      </w:r>
    </w:p>
  </w:endnote>
  <w:endnote w:type="continuationSeparator" w:id="0">
    <w:p w14:paraId="260DFF9C" w14:textId="77777777" w:rsidR="00EC5471" w:rsidRDefault="00EC5471" w:rsidP="00B77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45713874"/>
      <w:docPartObj>
        <w:docPartGallery w:val="Page Numbers (Bottom of Page)"/>
        <w:docPartUnique/>
      </w:docPartObj>
    </w:sdtPr>
    <w:sdtEndPr>
      <w:rPr>
        <w:noProof/>
      </w:rPr>
    </w:sdtEndPr>
    <w:sdtContent>
      <w:p w14:paraId="2E891320" w14:textId="13974A7B" w:rsidR="00B70DFA" w:rsidRPr="00B70DFA" w:rsidRDefault="00B70DFA">
        <w:pPr>
          <w:pStyle w:val="Footer"/>
          <w:jc w:val="center"/>
          <w:rPr>
            <w:rFonts w:ascii="Times New Roman" w:hAnsi="Times New Roman" w:cs="Times New Roman"/>
          </w:rPr>
        </w:pPr>
        <w:r w:rsidRPr="00B70DFA">
          <w:rPr>
            <w:rFonts w:ascii="Times New Roman" w:hAnsi="Times New Roman" w:cs="Times New Roman"/>
          </w:rPr>
          <w:fldChar w:fldCharType="begin"/>
        </w:r>
        <w:r w:rsidRPr="00B70DFA">
          <w:rPr>
            <w:rFonts w:ascii="Times New Roman" w:hAnsi="Times New Roman" w:cs="Times New Roman"/>
          </w:rPr>
          <w:instrText xml:space="preserve"> PAGE   \* MERGEFORMAT </w:instrText>
        </w:r>
        <w:r w:rsidRPr="00B70DFA">
          <w:rPr>
            <w:rFonts w:ascii="Times New Roman" w:hAnsi="Times New Roman" w:cs="Times New Roman"/>
          </w:rPr>
          <w:fldChar w:fldCharType="separate"/>
        </w:r>
        <w:r w:rsidRPr="00B70DFA">
          <w:rPr>
            <w:rFonts w:ascii="Times New Roman" w:hAnsi="Times New Roman" w:cs="Times New Roman"/>
            <w:noProof/>
          </w:rPr>
          <w:t>2</w:t>
        </w:r>
        <w:r w:rsidRPr="00B70DF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6A0D" w14:textId="77777777" w:rsidR="00EC5471" w:rsidRDefault="00EC5471" w:rsidP="00B77994">
      <w:pPr>
        <w:spacing w:after="0" w:line="240" w:lineRule="auto"/>
      </w:pPr>
      <w:r>
        <w:separator/>
      </w:r>
    </w:p>
  </w:footnote>
  <w:footnote w:type="continuationSeparator" w:id="0">
    <w:p w14:paraId="30120054" w14:textId="77777777" w:rsidR="00EC5471" w:rsidRDefault="00EC5471" w:rsidP="00B77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0829"/>
    <w:multiLevelType w:val="hybridMultilevel"/>
    <w:tmpl w:val="0B9A52F8"/>
    <w:lvl w:ilvl="0" w:tplc="99B643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034B9F"/>
    <w:multiLevelType w:val="hybridMultilevel"/>
    <w:tmpl w:val="9D58BD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B650AA"/>
    <w:multiLevelType w:val="hybridMultilevel"/>
    <w:tmpl w:val="B85AEE08"/>
    <w:lvl w:ilvl="0" w:tplc="E702B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F917AC9"/>
    <w:multiLevelType w:val="hybridMultilevel"/>
    <w:tmpl w:val="7C1248CA"/>
    <w:lvl w:ilvl="0" w:tplc="A86A9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2233F2"/>
    <w:multiLevelType w:val="hybridMultilevel"/>
    <w:tmpl w:val="D228F43C"/>
    <w:lvl w:ilvl="0" w:tplc="A92C77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2820317">
    <w:abstractNumId w:val="1"/>
  </w:num>
  <w:num w:numId="2" w16cid:durableId="390157746">
    <w:abstractNumId w:val="4"/>
  </w:num>
  <w:num w:numId="3" w16cid:durableId="591204698">
    <w:abstractNumId w:val="0"/>
  </w:num>
  <w:num w:numId="4" w16cid:durableId="1260412543">
    <w:abstractNumId w:val="2"/>
  </w:num>
  <w:num w:numId="5" w16cid:durableId="1065837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32"/>
    <w:rsid w:val="00002085"/>
    <w:rsid w:val="000220FA"/>
    <w:rsid w:val="00031A11"/>
    <w:rsid w:val="0004516A"/>
    <w:rsid w:val="00051767"/>
    <w:rsid w:val="0005618C"/>
    <w:rsid w:val="00081A3C"/>
    <w:rsid w:val="00085500"/>
    <w:rsid w:val="000858B4"/>
    <w:rsid w:val="00096A87"/>
    <w:rsid w:val="000A23D2"/>
    <w:rsid w:val="000D2F4C"/>
    <w:rsid w:val="000F5900"/>
    <w:rsid w:val="00100E74"/>
    <w:rsid w:val="00107B46"/>
    <w:rsid w:val="00117B1F"/>
    <w:rsid w:val="00122AF5"/>
    <w:rsid w:val="001271BB"/>
    <w:rsid w:val="0013534E"/>
    <w:rsid w:val="0013694F"/>
    <w:rsid w:val="001436C1"/>
    <w:rsid w:val="001454A8"/>
    <w:rsid w:val="00153840"/>
    <w:rsid w:val="00157C7F"/>
    <w:rsid w:val="00163D8A"/>
    <w:rsid w:val="00165882"/>
    <w:rsid w:val="001705EC"/>
    <w:rsid w:val="00174D78"/>
    <w:rsid w:val="00182357"/>
    <w:rsid w:val="00190BDE"/>
    <w:rsid w:val="001A38C3"/>
    <w:rsid w:val="001A476A"/>
    <w:rsid w:val="001A4DA4"/>
    <w:rsid w:val="001B1CB2"/>
    <w:rsid w:val="001D134D"/>
    <w:rsid w:val="001D6A0C"/>
    <w:rsid w:val="001E5A73"/>
    <w:rsid w:val="001F49F7"/>
    <w:rsid w:val="001F759C"/>
    <w:rsid w:val="00202D1F"/>
    <w:rsid w:val="00203468"/>
    <w:rsid w:val="0020533C"/>
    <w:rsid w:val="00206282"/>
    <w:rsid w:val="00210DE6"/>
    <w:rsid w:val="00226B4C"/>
    <w:rsid w:val="0022786A"/>
    <w:rsid w:val="0023510F"/>
    <w:rsid w:val="00240A57"/>
    <w:rsid w:val="002512D0"/>
    <w:rsid w:val="00252001"/>
    <w:rsid w:val="002554F9"/>
    <w:rsid w:val="002663DE"/>
    <w:rsid w:val="00272D7A"/>
    <w:rsid w:val="00283C24"/>
    <w:rsid w:val="002A6A0E"/>
    <w:rsid w:val="002D4948"/>
    <w:rsid w:val="002E7036"/>
    <w:rsid w:val="002F701C"/>
    <w:rsid w:val="002F75AC"/>
    <w:rsid w:val="00303373"/>
    <w:rsid w:val="00303D9A"/>
    <w:rsid w:val="003045D3"/>
    <w:rsid w:val="00320325"/>
    <w:rsid w:val="0034411A"/>
    <w:rsid w:val="0035339B"/>
    <w:rsid w:val="00371A3A"/>
    <w:rsid w:val="00374765"/>
    <w:rsid w:val="00376048"/>
    <w:rsid w:val="00376093"/>
    <w:rsid w:val="00390138"/>
    <w:rsid w:val="003976F6"/>
    <w:rsid w:val="00397911"/>
    <w:rsid w:val="003B0D48"/>
    <w:rsid w:val="003D459D"/>
    <w:rsid w:val="003E425A"/>
    <w:rsid w:val="003F3ED0"/>
    <w:rsid w:val="00414138"/>
    <w:rsid w:val="00416BA1"/>
    <w:rsid w:val="004234BC"/>
    <w:rsid w:val="004924C3"/>
    <w:rsid w:val="004A1440"/>
    <w:rsid w:val="004A3338"/>
    <w:rsid w:val="004A76C3"/>
    <w:rsid w:val="004B03D8"/>
    <w:rsid w:val="004B4AF5"/>
    <w:rsid w:val="004C0CB2"/>
    <w:rsid w:val="004C10C9"/>
    <w:rsid w:val="004C2177"/>
    <w:rsid w:val="004D3900"/>
    <w:rsid w:val="004D5959"/>
    <w:rsid w:val="004F08EF"/>
    <w:rsid w:val="004F524B"/>
    <w:rsid w:val="004F70B6"/>
    <w:rsid w:val="00501EE1"/>
    <w:rsid w:val="0051640C"/>
    <w:rsid w:val="005244E0"/>
    <w:rsid w:val="00531E50"/>
    <w:rsid w:val="0053479F"/>
    <w:rsid w:val="00555EDB"/>
    <w:rsid w:val="00572839"/>
    <w:rsid w:val="0058075F"/>
    <w:rsid w:val="005846AB"/>
    <w:rsid w:val="00584C2B"/>
    <w:rsid w:val="005B533B"/>
    <w:rsid w:val="005C5139"/>
    <w:rsid w:val="005D777C"/>
    <w:rsid w:val="005F7DE6"/>
    <w:rsid w:val="00601B24"/>
    <w:rsid w:val="0060684F"/>
    <w:rsid w:val="00614BB5"/>
    <w:rsid w:val="006200BC"/>
    <w:rsid w:val="00620EE7"/>
    <w:rsid w:val="006216E5"/>
    <w:rsid w:val="00627501"/>
    <w:rsid w:val="0062788A"/>
    <w:rsid w:val="006319BD"/>
    <w:rsid w:val="006373EA"/>
    <w:rsid w:val="00645C53"/>
    <w:rsid w:val="00662208"/>
    <w:rsid w:val="00667BB7"/>
    <w:rsid w:val="00690D1B"/>
    <w:rsid w:val="00691A8E"/>
    <w:rsid w:val="006A7CB6"/>
    <w:rsid w:val="006D5564"/>
    <w:rsid w:val="006D7DDE"/>
    <w:rsid w:val="006E4D63"/>
    <w:rsid w:val="006F1869"/>
    <w:rsid w:val="007003B1"/>
    <w:rsid w:val="00716126"/>
    <w:rsid w:val="00716921"/>
    <w:rsid w:val="007322CC"/>
    <w:rsid w:val="00735E16"/>
    <w:rsid w:val="007444AE"/>
    <w:rsid w:val="0074750A"/>
    <w:rsid w:val="00752998"/>
    <w:rsid w:val="00763227"/>
    <w:rsid w:val="007663B4"/>
    <w:rsid w:val="00780F3A"/>
    <w:rsid w:val="007B1D96"/>
    <w:rsid w:val="007B473C"/>
    <w:rsid w:val="007B72E9"/>
    <w:rsid w:val="007C2E73"/>
    <w:rsid w:val="007C56A1"/>
    <w:rsid w:val="00810654"/>
    <w:rsid w:val="00824020"/>
    <w:rsid w:val="00835748"/>
    <w:rsid w:val="00853295"/>
    <w:rsid w:val="00856E78"/>
    <w:rsid w:val="00864E5F"/>
    <w:rsid w:val="008746BB"/>
    <w:rsid w:val="00876FB0"/>
    <w:rsid w:val="008807CD"/>
    <w:rsid w:val="008A7607"/>
    <w:rsid w:val="008B1C4D"/>
    <w:rsid w:val="008C1D47"/>
    <w:rsid w:val="008C5F67"/>
    <w:rsid w:val="008D72F6"/>
    <w:rsid w:val="008E3995"/>
    <w:rsid w:val="008E706E"/>
    <w:rsid w:val="008F3CEC"/>
    <w:rsid w:val="00924968"/>
    <w:rsid w:val="00940F70"/>
    <w:rsid w:val="0094560C"/>
    <w:rsid w:val="009567DF"/>
    <w:rsid w:val="00963C87"/>
    <w:rsid w:val="00964C84"/>
    <w:rsid w:val="009677B0"/>
    <w:rsid w:val="0097207D"/>
    <w:rsid w:val="00990747"/>
    <w:rsid w:val="009912AF"/>
    <w:rsid w:val="009A076C"/>
    <w:rsid w:val="009A585B"/>
    <w:rsid w:val="009B2313"/>
    <w:rsid w:val="009D163E"/>
    <w:rsid w:val="009E37E9"/>
    <w:rsid w:val="009E3B65"/>
    <w:rsid w:val="009E3EF3"/>
    <w:rsid w:val="00A0681C"/>
    <w:rsid w:val="00A149C6"/>
    <w:rsid w:val="00A27103"/>
    <w:rsid w:val="00A34D32"/>
    <w:rsid w:val="00A47874"/>
    <w:rsid w:val="00A5116C"/>
    <w:rsid w:val="00A53E01"/>
    <w:rsid w:val="00A546A0"/>
    <w:rsid w:val="00A57F78"/>
    <w:rsid w:val="00A604FF"/>
    <w:rsid w:val="00A61114"/>
    <w:rsid w:val="00A6338B"/>
    <w:rsid w:val="00A77A82"/>
    <w:rsid w:val="00AA3ABD"/>
    <w:rsid w:val="00AB5A74"/>
    <w:rsid w:val="00AC0597"/>
    <w:rsid w:val="00AD0C14"/>
    <w:rsid w:val="00AD6511"/>
    <w:rsid w:val="00AF3B0E"/>
    <w:rsid w:val="00B33185"/>
    <w:rsid w:val="00B34C3D"/>
    <w:rsid w:val="00B35571"/>
    <w:rsid w:val="00B42F10"/>
    <w:rsid w:val="00B54CFC"/>
    <w:rsid w:val="00B62834"/>
    <w:rsid w:val="00B66467"/>
    <w:rsid w:val="00B70DFA"/>
    <w:rsid w:val="00B75A0D"/>
    <w:rsid w:val="00B75FD2"/>
    <w:rsid w:val="00B77994"/>
    <w:rsid w:val="00B77F64"/>
    <w:rsid w:val="00B944DB"/>
    <w:rsid w:val="00BB51EA"/>
    <w:rsid w:val="00BC2D6B"/>
    <w:rsid w:val="00BC6043"/>
    <w:rsid w:val="00BD714D"/>
    <w:rsid w:val="00BF20C9"/>
    <w:rsid w:val="00C041E1"/>
    <w:rsid w:val="00C16EDD"/>
    <w:rsid w:val="00C2129D"/>
    <w:rsid w:val="00C214F7"/>
    <w:rsid w:val="00C237E5"/>
    <w:rsid w:val="00C371A9"/>
    <w:rsid w:val="00C42606"/>
    <w:rsid w:val="00C431CD"/>
    <w:rsid w:val="00C5072E"/>
    <w:rsid w:val="00C948D6"/>
    <w:rsid w:val="00CB56FF"/>
    <w:rsid w:val="00CB6DBD"/>
    <w:rsid w:val="00CC268D"/>
    <w:rsid w:val="00CD011A"/>
    <w:rsid w:val="00CF1ED2"/>
    <w:rsid w:val="00CF4BE5"/>
    <w:rsid w:val="00D03E24"/>
    <w:rsid w:val="00D041F4"/>
    <w:rsid w:val="00D34B48"/>
    <w:rsid w:val="00D35057"/>
    <w:rsid w:val="00D37DE2"/>
    <w:rsid w:val="00D45B95"/>
    <w:rsid w:val="00D45FCC"/>
    <w:rsid w:val="00D52110"/>
    <w:rsid w:val="00D66C0F"/>
    <w:rsid w:val="00D71DF8"/>
    <w:rsid w:val="00D829E3"/>
    <w:rsid w:val="00D97795"/>
    <w:rsid w:val="00D97CAF"/>
    <w:rsid w:val="00DA4FDB"/>
    <w:rsid w:val="00DA50DC"/>
    <w:rsid w:val="00DD2943"/>
    <w:rsid w:val="00DD5ECB"/>
    <w:rsid w:val="00E04458"/>
    <w:rsid w:val="00E1684B"/>
    <w:rsid w:val="00E26E0E"/>
    <w:rsid w:val="00E33C91"/>
    <w:rsid w:val="00E61B17"/>
    <w:rsid w:val="00E714E5"/>
    <w:rsid w:val="00E76AE6"/>
    <w:rsid w:val="00E81BE1"/>
    <w:rsid w:val="00EC5471"/>
    <w:rsid w:val="00ED0C2F"/>
    <w:rsid w:val="00EF2AD9"/>
    <w:rsid w:val="00F1576C"/>
    <w:rsid w:val="00F439B3"/>
    <w:rsid w:val="00F45410"/>
    <w:rsid w:val="00F54BB4"/>
    <w:rsid w:val="00F56052"/>
    <w:rsid w:val="00F567C3"/>
    <w:rsid w:val="00F83FAA"/>
    <w:rsid w:val="00FA2AA2"/>
    <w:rsid w:val="00FC60F0"/>
    <w:rsid w:val="00FC6DCB"/>
    <w:rsid w:val="00FF159D"/>
    <w:rsid w:val="00FF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88BB"/>
  <w15:chartTrackingRefBased/>
  <w15:docId w15:val="{2DA40326-9E71-47A5-A564-95107BF6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4D"/>
  </w:style>
  <w:style w:type="paragraph" w:styleId="Heading1">
    <w:name w:val="heading 1"/>
    <w:basedOn w:val="Normal"/>
    <w:next w:val="Normal"/>
    <w:link w:val="Heading1Char"/>
    <w:uiPriority w:val="9"/>
    <w:qFormat/>
    <w:rsid w:val="00A34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D32"/>
    <w:rPr>
      <w:rFonts w:eastAsiaTheme="majorEastAsia" w:cstheme="majorBidi"/>
      <w:color w:val="272727" w:themeColor="text1" w:themeTint="D8"/>
    </w:rPr>
  </w:style>
  <w:style w:type="paragraph" w:styleId="Title">
    <w:name w:val="Title"/>
    <w:basedOn w:val="Normal"/>
    <w:next w:val="Normal"/>
    <w:link w:val="TitleChar"/>
    <w:uiPriority w:val="10"/>
    <w:qFormat/>
    <w:rsid w:val="00A34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D32"/>
    <w:pPr>
      <w:spacing w:before="160"/>
      <w:jc w:val="center"/>
    </w:pPr>
    <w:rPr>
      <w:i/>
      <w:iCs/>
      <w:color w:val="404040" w:themeColor="text1" w:themeTint="BF"/>
    </w:rPr>
  </w:style>
  <w:style w:type="character" w:customStyle="1" w:styleId="QuoteChar">
    <w:name w:val="Quote Char"/>
    <w:basedOn w:val="DefaultParagraphFont"/>
    <w:link w:val="Quote"/>
    <w:uiPriority w:val="29"/>
    <w:rsid w:val="00A34D32"/>
    <w:rPr>
      <w:i/>
      <w:iCs/>
      <w:color w:val="404040" w:themeColor="text1" w:themeTint="BF"/>
    </w:rPr>
  </w:style>
  <w:style w:type="paragraph" w:styleId="ListParagraph">
    <w:name w:val="List Paragraph"/>
    <w:basedOn w:val="Normal"/>
    <w:uiPriority w:val="34"/>
    <w:qFormat/>
    <w:rsid w:val="00A34D32"/>
    <w:pPr>
      <w:ind w:left="720"/>
      <w:contextualSpacing/>
    </w:pPr>
  </w:style>
  <w:style w:type="character" w:styleId="IntenseEmphasis">
    <w:name w:val="Intense Emphasis"/>
    <w:basedOn w:val="DefaultParagraphFont"/>
    <w:uiPriority w:val="21"/>
    <w:qFormat/>
    <w:rsid w:val="00A34D32"/>
    <w:rPr>
      <w:i/>
      <w:iCs/>
      <w:color w:val="0F4761" w:themeColor="accent1" w:themeShade="BF"/>
    </w:rPr>
  </w:style>
  <w:style w:type="paragraph" w:styleId="IntenseQuote">
    <w:name w:val="Intense Quote"/>
    <w:basedOn w:val="Normal"/>
    <w:next w:val="Normal"/>
    <w:link w:val="IntenseQuoteChar"/>
    <w:uiPriority w:val="30"/>
    <w:qFormat/>
    <w:rsid w:val="00A34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D32"/>
    <w:rPr>
      <w:i/>
      <w:iCs/>
      <w:color w:val="0F4761" w:themeColor="accent1" w:themeShade="BF"/>
    </w:rPr>
  </w:style>
  <w:style w:type="character" w:styleId="IntenseReference">
    <w:name w:val="Intense Reference"/>
    <w:basedOn w:val="DefaultParagraphFont"/>
    <w:uiPriority w:val="32"/>
    <w:qFormat/>
    <w:rsid w:val="00A34D32"/>
    <w:rPr>
      <w:b/>
      <w:bCs/>
      <w:smallCaps/>
      <w:color w:val="0F4761" w:themeColor="accent1" w:themeShade="BF"/>
      <w:spacing w:val="5"/>
    </w:rPr>
  </w:style>
  <w:style w:type="paragraph" w:styleId="Header">
    <w:name w:val="header"/>
    <w:basedOn w:val="Normal"/>
    <w:link w:val="HeaderChar"/>
    <w:uiPriority w:val="99"/>
    <w:unhideWhenUsed/>
    <w:rsid w:val="00B7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994"/>
  </w:style>
  <w:style w:type="paragraph" w:styleId="Footer">
    <w:name w:val="footer"/>
    <w:basedOn w:val="Normal"/>
    <w:link w:val="FooterChar"/>
    <w:uiPriority w:val="99"/>
    <w:unhideWhenUsed/>
    <w:rsid w:val="00B7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994"/>
  </w:style>
  <w:style w:type="character" w:styleId="CommentReference">
    <w:name w:val="annotation reference"/>
    <w:basedOn w:val="DefaultParagraphFont"/>
    <w:uiPriority w:val="99"/>
    <w:semiHidden/>
    <w:unhideWhenUsed/>
    <w:rsid w:val="002F75AC"/>
    <w:rPr>
      <w:sz w:val="16"/>
      <w:szCs w:val="16"/>
    </w:rPr>
  </w:style>
  <w:style w:type="paragraph" w:styleId="CommentText">
    <w:name w:val="annotation text"/>
    <w:basedOn w:val="Normal"/>
    <w:link w:val="CommentTextChar"/>
    <w:uiPriority w:val="99"/>
    <w:unhideWhenUsed/>
    <w:rsid w:val="002F75AC"/>
    <w:pPr>
      <w:spacing w:line="240" w:lineRule="auto"/>
    </w:pPr>
    <w:rPr>
      <w:sz w:val="20"/>
      <w:szCs w:val="20"/>
    </w:rPr>
  </w:style>
  <w:style w:type="character" w:customStyle="1" w:styleId="CommentTextChar">
    <w:name w:val="Comment Text Char"/>
    <w:basedOn w:val="DefaultParagraphFont"/>
    <w:link w:val="CommentText"/>
    <w:uiPriority w:val="99"/>
    <w:rsid w:val="002F75AC"/>
    <w:rPr>
      <w:sz w:val="20"/>
      <w:szCs w:val="20"/>
    </w:rPr>
  </w:style>
  <w:style w:type="paragraph" w:styleId="CommentSubject">
    <w:name w:val="annotation subject"/>
    <w:basedOn w:val="CommentText"/>
    <w:next w:val="CommentText"/>
    <w:link w:val="CommentSubjectChar"/>
    <w:uiPriority w:val="99"/>
    <w:semiHidden/>
    <w:unhideWhenUsed/>
    <w:rsid w:val="002F75AC"/>
    <w:rPr>
      <w:b/>
      <w:bCs/>
    </w:rPr>
  </w:style>
  <w:style w:type="character" w:customStyle="1" w:styleId="CommentSubjectChar">
    <w:name w:val="Comment Subject Char"/>
    <w:basedOn w:val="CommentTextChar"/>
    <w:link w:val="CommentSubject"/>
    <w:uiPriority w:val="99"/>
    <w:semiHidden/>
    <w:rsid w:val="002F75AC"/>
    <w:rPr>
      <w:b/>
      <w:bCs/>
      <w:sz w:val="20"/>
      <w:szCs w:val="20"/>
    </w:rPr>
  </w:style>
  <w:style w:type="character" w:styleId="Hyperlink">
    <w:name w:val="Hyperlink"/>
    <w:basedOn w:val="DefaultParagraphFont"/>
    <w:uiPriority w:val="99"/>
    <w:unhideWhenUsed/>
    <w:rsid w:val="008A7607"/>
    <w:rPr>
      <w:color w:val="467886" w:themeColor="hyperlink"/>
      <w:u w:val="single"/>
    </w:rPr>
  </w:style>
  <w:style w:type="character" w:styleId="UnresolvedMention">
    <w:name w:val="Unresolved Mention"/>
    <w:basedOn w:val="DefaultParagraphFont"/>
    <w:uiPriority w:val="99"/>
    <w:semiHidden/>
    <w:unhideWhenUsed/>
    <w:rsid w:val="008A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73380">
      <w:bodyDiv w:val="1"/>
      <w:marLeft w:val="0"/>
      <w:marRight w:val="0"/>
      <w:marTop w:val="0"/>
      <w:marBottom w:val="0"/>
      <w:divBdr>
        <w:top w:val="none" w:sz="0" w:space="0" w:color="auto"/>
        <w:left w:val="none" w:sz="0" w:space="0" w:color="auto"/>
        <w:bottom w:val="none" w:sz="0" w:space="0" w:color="auto"/>
        <w:right w:val="none" w:sz="0" w:space="0" w:color="auto"/>
      </w:divBdr>
    </w:div>
    <w:div w:id="1232039539">
      <w:bodyDiv w:val="1"/>
      <w:marLeft w:val="0"/>
      <w:marRight w:val="0"/>
      <w:marTop w:val="0"/>
      <w:marBottom w:val="0"/>
      <w:divBdr>
        <w:top w:val="none" w:sz="0" w:space="0" w:color="auto"/>
        <w:left w:val="none" w:sz="0" w:space="0" w:color="auto"/>
        <w:bottom w:val="none" w:sz="0" w:space="0" w:color="auto"/>
        <w:right w:val="none" w:sz="0" w:space="0" w:color="auto"/>
      </w:divBdr>
    </w:div>
    <w:div w:id="1256551067">
      <w:bodyDiv w:val="1"/>
      <w:marLeft w:val="0"/>
      <w:marRight w:val="0"/>
      <w:marTop w:val="0"/>
      <w:marBottom w:val="0"/>
      <w:divBdr>
        <w:top w:val="none" w:sz="0" w:space="0" w:color="auto"/>
        <w:left w:val="none" w:sz="0" w:space="0" w:color="auto"/>
        <w:bottom w:val="none" w:sz="0" w:space="0" w:color="auto"/>
        <w:right w:val="none" w:sz="0" w:space="0" w:color="auto"/>
      </w:divBdr>
    </w:div>
    <w:div w:id="19564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Daniel Conviser</dc:creator>
  <cp:keywords/>
  <dc:description/>
  <cp:lastModifiedBy>Bill Donnino</cp:lastModifiedBy>
  <cp:revision>4</cp:revision>
  <cp:lastPrinted>2025-10-08T16:32:00Z</cp:lastPrinted>
  <dcterms:created xsi:type="dcterms:W3CDTF">2025-10-08T16:33:00Z</dcterms:created>
  <dcterms:modified xsi:type="dcterms:W3CDTF">2025-10-09T16:46:00Z</dcterms:modified>
</cp:coreProperties>
</file>